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9" w:rsidRDefault="00AC5522">
      <w:pPr>
        <w:sectPr w:rsidR="00A66099" w:rsidSect="00B565CC">
          <w:headerReference w:type="default" r:id="rId8"/>
          <w:footerReference w:type="default" r:id="rId9"/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  <w:bookmarkStart w:id="10" w:name="_GoBack"/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8"/>
      </w:tblGrid>
      <w:tr w:rsidR="002758CD">
        <w:tc>
          <w:tcPr>
            <w:tcW w:w="8978" w:type="dxa"/>
          </w:tcPr>
          <w:p w:rsidR="00D35AD6" w:rsidRPr="009E00C1" w:rsidRDefault="00AC5522" w:rsidP="00F21B3B">
            <w:pPr>
              <w:pStyle w:val="Encabezado"/>
              <w:spacing w:before="10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“Por un control fiscal efectivo y t</w:t>
            </w:r>
            <w:r w:rsidRPr="00196D69">
              <w:rPr>
                <w:rFonts w:ascii="Arial" w:hAnsi="Arial" w:cs="Arial"/>
                <w:b/>
                <w:sz w:val="24"/>
                <w:szCs w:val="24"/>
              </w:rPr>
              <w:t>ransparente”</w:t>
            </w:r>
          </w:p>
        </w:tc>
      </w:tr>
    </w:tbl>
    <w:p w:rsidR="00A66099" w:rsidRDefault="00AC5522" w:rsidP="00DB5614">
      <w:pPr>
        <w:tabs>
          <w:tab w:val="left" w:pos="-720"/>
          <w:tab w:val="left" w:pos="0"/>
        </w:tabs>
        <w:suppressAutoHyphens/>
        <w:jc w:val="both"/>
        <w:sectPr w:rsidR="00A66099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8E2995" w:rsidRDefault="00AC5522" w:rsidP="008E2995">
      <w:pPr>
        <w:rPr>
          <w:b/>
          <w:color w:val="000000"/>
          <w:szCs w:val="24"/>
        </w:rPr>
      </w:pPr>
    </w:p>
    <w:p w:rsidR="008E2995" w:rsidRPr="00285661" w:rsidRDefault="00AC5522" w:rsidP="008E2995">
      <w:pPr>
        <w:rPr>
          <w:b/>
          <w:color w:val="000000"/>
          <w:szCs w:val="24"/>
        </w:rPr>
      </w:pPr>
      <w:r w:rsidRPr="001B33E5">
        <w:rPr>
          <w:b/>
          <w:color w:val="000000"/>
          <w:szCs w:val="24"/>
        </w:rPr>
        <w:t>PARA:</w:t>
      </w:r>
      <w:r w:rsidRPr="001B33E5">
        <w:rPr>
          <w:color w:val="000000"/>
          <w:szCs w:val="24"/>
        </w:rPr>
        <w:tab/>
      </w:r>
      <w:r w:rsidRPr="001B33E5">
        <w:rPr>
          <w:color w:val="000000"/>
          <w:szCs w:val="24"/>
        </w:rPr>
        <w:tab/>
      </w:r>
      <w:r>
        <w:rPr>
          <w:b/>
          <w:color w:val="000000"/>
          <w:szCs w:val="24"/>
        </w:rPr>
        <w:t>RAMIRO AUGUSTO TRIVIÑO SÁNCHEZ</w:t>
      </w:r>
    </w:p>
    <w:p w:rsidR="008E2995" w:rsidRPr="001B33E5" w:rsidRDefault="00AC5522" w:rsidP="008E2995">
      <w:pPr>
        <w:ind w:left="2115"/>
        <w:rPr>
          <w:color w:val="000000"/>
          <w:szCs w:val="24"/>
        </w:rPr>
      </w:pPr>
      <w:r w:rsidRPr="001B33E5">
        <w:rPr>
          <w:color w:val="000000"/>
          <w:szCs w:val="24"/>
        </w:rPr>
        <w:t xml:space="preserve">Responsable </w:t>
      </w:r>
      <w:r>
        <w:rPr>
          <w:color w:val="000000"/>
          <w:szCs w:val="24"/>
        </w:rPr>
        <w:t xml:space="preserve">del Proceso de Estudios de Economía y Política Pública </w:t>
      </w:r>
    </w:p>
    <w:p w:rsidR="008E2995" w:rsidRPr="001B33E5" w:rsidRDefault="00AC5522" w:rsidP="008E2995">
      <w:pPr>
        <w:rPr>
          <w:color w:val="000000"/>
          <w:szCs w:val="24"/>
        </w:rPr>
      </w:pPr>
    </w:p>
    <w:p w:rsidR="008E2995" w:rsidRPr="00760DE5" w:rsidRDefault="00AC5522" w:rsidP="008E2995">
      <w:pPr>
        <w:jc w:val="both"/>
        <w:outlineLvl w:val="0"/>
        <w:rPr>
          <w:b/>
          <w:color w:val="000000"/>
          <w:szCs w:val="24"/>
        </w:rPr>
      </w:pPr>
      <w:r w:rsidRPr="001B33E5">
        <w:rPr>
          <w:b/>
          <w:color w:val="000000"/>
          <w:szCs w:val="24"/>
        </w:rPr>
        <w:t>DE:</w:t>
      </w:r>
      <w:r w:rsidRPr="001B33E5">
        <w:rPr>
          <w:color w:val="000000"/>
          <w:szCs w:val="24"/>
        </w:rPr>
        <w:tab/>
      </w:r>
      <w:r w:rsidRPr="001B33E5">
        <w:rPr>
          <w:color w:val="000000"/>
          <w:szCs w:val="24"/>
        </w:rPr>
        <w:tab/>
      </w:r>
      <w:r w:rsidRPr="001B33E5">
        <w:rPr>
          <w:color w:val="000000"/>
          <w:szCs w:val="24"/>
        </w:rPr>
        <w:tab/>
      </w:r>
      <w:r w:rsidRPr="00760DE5">
        <w:rPr>
          <w:b/>
          <w:color w:val="000000"/>
          <w:szCs w:val="24"/>
        </w:rPr>
        <w:t>JEFE OFICINA DE CONTROL INTERNO</w:t>
      </w:r>
    </w:p>
    <w:p w:rsidR="008E2995" w:rsidRPr="001B33E5" w:rsidRDefault="00AC5522" w:rsidP="008E2995">
      <w:pPr>
        <w:rPr>
          <w:color w:val="000000"/>
          <w:szCs w:val="24"/>
        </w:rPr>
      </w:pPr>
    </w:p>
    <w:p w:rsidR="008E2995" w:rsidRDefault="00AC5522" w:rsidP="008E2995">
      <w:pPr>
        <w:ind w:left="2124" w:hanging="2124"/>
        <w:rPr>
          <w:color w:val="000000"/>
          <w:szCs w:val="24"/>
        </w:rPr>
      </w:pPr>
      <w:r w:rsidRPr="001B33E5">
        <w:rPr>
          <w:b/>
          <w:color w:val="000000"/>
          <w:szCs w:val="24"/>
        </w:rPr>
        <w:t>ASUNTO:</w:t>
      </w:r>
      <w:r w:rsidRPr="001B33E5">
        <w:rPr>
          <w:color w:val="000000"/>
          <w:szCs w:val="24"/>
        </w:rPr>
        <w:tab/>
        <w:t xml:space="preserve">Seguimiento </w:t>
      </w:r>
      <w:r>
        <w:rPr>
          <w:color w:val="000000"/>
          <w:szCs w:val="24"/>
        </w:rPr>
        <w:t xml:space="preserve">Anexo 1 – Plan </w:t>
      </w:r>
      <w:r>
        <w:rPr>
          <w:color w:val="000000"/>
          <w:szCs w:val="24"/>
        </w:rPr>
        <w:t>de Mejoramiento Acciones Correctivas, Preventivas y de Mejora a Marzo de 2015</w:t>
      </w:r>
    </w:p>
    <w:p w:rsidR="008E2995" w:rsidRDefault="00AC5522" w:rsidP="008E2995">
      <w:pPr>
        <w:ind w:left="2124" w:hanging="2124"/>
        <w:rPr>
          <w:color w:val="000000"/>
          <w:szCs w:val="24"/>
        </w:rPr>
      </w:pPr>
    </w:p>
    <w:p w:rsidR="008E2995" w:rsidRDefault="00AC5522" w:rsidP="008E2995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De conformidad con el Programa Anual de Evaluaciones Independientes PAEI Vigencia 2015 y </w:t>
      </w:r>
      <w:smartTag w:uri="urn:schemas-microsoft-com:office:smarttags" w:element="PersonName">
        <w:smartTagPr>
          <w:attr w:name="ProductID" w:val="la Resoluci￳n Reglamentaria"/>
        </w:smartTagPr>
        <w:r>
          <w:rPr>
            <w:color w:val="000000"/>
            <w:szCs w:val="24"/>
          </w:rPr>
          <w:t xml:space="preserve">la </w:t>
        </w:r>
        <w:r w:rsidRPr="001B33E5">
          <w:rPr>
            <w:color w:val="000000"/>
            <w:szCs w:val="24"/>
          </w:rPr>
          <w:t>Resolución Reglamentaria</w:t>
        </w:r>
      </w:smartTag>
      <w:r>
        <w:rPr>
          <w:color w:val="000000"/>
          <w:szCs w:val="24"/>
        </w:rPr>
        <w:t xml:space="preserve"> No. 010 de Febrero</w:t>
      </w:r>
      <w:r w:rsidRPr="00054AB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24 </w:t>
      </w:r>
      <w:r w:rsidRPr="00054ABC">
        <w:rPr>
          <w:color w:val="000000"/>
          <w:szCs w:val="24"/>
        </w:rPr>
        <w:t xml:space="preserve">de </w:t>
      </w:r>
      <w:r>
        <w:rPr>
          <w:color w:val="000000"/>
          <w:szCs w:val="24"/>
        </w:rPr>
        <w:t>2</w:t>
      </w:r>
      <w:r w:rsidRPr="00054ABC">
        <w:rPr>
          <w:color w:val="000000"/>
          <w:szCs w:val="24"/>
        </w:rPr>
        <w:t>01</w:t>
      </w:r>
      <w:r>
        <w:rPr>
          <w:color w:val="000000"/>
          <w:szCs w:val="24"/>
        </w:rPr>
        <w:t>4, atentamente me permito comuni</w:t>
      </w:r>
      <w:r>
        <w:rPr>
          <w:color w:val="000000"/>
          <w:szCs w:val="24"/>
        </w:rPr>
        <w:t>carle el resultado</w:t>
      </w:r>
      <w:r w:rsidRPr="00A2713A">
        <w:rPr>
          <w:color w:val="000000"/>
          <w:szCs w:val="24"/>
        </w:rPr>
        <w:t xml:space="preserve"> del estado de las acciones contenidas</w:t>
      </w:r>
      <w:r>
        <w:rPr>
          <w:color w:val="000000"/>
          <w:szCs w:val="24"/>
        </w:rPr>
        <w:t xml:space="preserve"> en el Plan de Mejoramiento Anexo1 Acciones Correctivas, Preventivas y de Mejora con corte a Marzo de 2015.</w:t>
      </w:r>
    </w:p>
    <w:p w:rsidR="008E2995" w:rsidRDefault="00AC5522" w:rsidP="008E2995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8E2995" w:rsidRDefault="00AC5522" w:rsidP="008E2995">
      <w:pPr>
        <w:widowControl w:val="0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Efectuada la verificación al cumplimiento y eficacia de las acciones a continuación se </w:t>
      </w:r>
      <w:r>
        <w:rPr>
          <w:color w:val="000000"/>
          <w:szCs w:val="24"/>
        </w:rPr>
        <w:t>presentan los hallazgos por origen:</w:t>
      </w:r>
    </w:p>
    <w:p w:rsidR="008E2995" w:rsidRDefault="00AC5522" w:rsidP="008E2995">
      <w:pPr>
        <w:jc w:val="both"/>
        <w:rPr>
          <w:color w:val="000000"/>
          <w:szCs w:val="24"/>
        </w:rPr>
      </w:pPr>
    </w:p>
    <w:p w:rsidR="008E2995" w:rsidRDefault="00AC5522" w:rsidP="008E2995">
      <w:pPr>
        <w:ind w:left="1418" w:hanging="1560"/>
        <w:rPr>
          <w:b/>
          <w:color w:val="000000"/>
          <w:sz w:val="22"/>
        </w:rPr>
      </w:pPr>
      <w:r w:rsidRPr="00DE6175">
        <w:rPr>
          <w:rFonts w:ascii="Arial Narrow" w:hAnsi="Arial Narrow"/>
          <w:color w:val="000000"/>
        </w:rPr>
        <w:t xml:space="preserve">  </w:t>
      </w:r>
      <w:r w:rsidRPr="006C331D">
        <w:rPr>
          <w:b/>
          <w:color w:val="000000"/>
          <w:sz w:val="22"/>
        </w:rPr>
        <w:t>Anexo 1 - Plan de Mejoramiento-Acciones Correctivas, Preventivas y de Mejora</w:t>
      </w:r>
    </w:p>
    <w:p w:rsidR="008E2995" w:rsidRPr="006C331D" w:rsidRDefault="00AC5522" w:rsidP="008E2995">
      <w:pPr>
        <w:ind w:left="1418" w:hanging="1560"/>
        <w:rPr>
          <w:b/>
          <w:color w:val="000000"/>
          <w:sz w:val="22"/>
        </w:rPr>
      </w:pPr>
    </w:p>
    <w:tbl>
      <w:tblPr>
        <w:tblW w:w="88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960"/>
        <w:gridCol w:w="1440"/>
        <w:gridCol w:w="1080"/>
        <w:gridCol w:w="120"/>
        <w:gridCol w:w="1320"/>
      </w:tblGrid>
      <w:tr w:rsidR="002758CD" w:rsidTr="000443D4">
        <w:trPr>
          <w:trHeight w:val="645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ORIGEN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TIPO DE ACCIÓN (Correctiva,  preventiva o de mejora)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ABIERTAS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CERRADAS Y/O MITIGADAS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SE SUGIERE EL CIERRE (A*)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F4746">
              <w:rPr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2758CD" w:rsidTr="000443D4">
        <w:trPr>
          <w:trHeight w:val="25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4F4746" w:rsidRDefault="00AC5522" w:rsidP="000443D4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4F4746" w:rsidRDefault="00AC5522" w:rsidP="000443D4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4F4746" w:rsidRDefault="00AC5522" w:rsidP="000443D4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4F4746" w:rsidRDefault="00AC5522" w:rsidP="000443D4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4F4746" w:rsidRDefault="00AC5522" w:rsidP="000443D4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4F4746" w:rsidRDefault="00AC5522" w:rsidP="000443D4">
            <w:pPr>
              <w:rPr>
                <w:rFonts w:ascii="Arial Narrow" w:hAnsi="Arial Narrow"/>
                <w:b/>
                <w:bCs/>
                <w:color w:val="000000"/>
                <w:sz w:val="20"/>
              </w:rPr>
            </w:pPr>
          </w:p>
        </w:tc>
      </w:tr>
      <w:tr w:rsidR="002758CD" w:rsidTr="000443D4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5521B7" w:rsidRDefault="00AC5522" w:rsidP="000443D4">
            <w:pPr>
              <w:rPr>
                <w:rFonts w:ascii="Arial Narrow" w:hAnsi="Arial Narrow"/>
                <w:bCs/>
                <w:color w:val="000000"/>
                <w:sz w:val="20"/>
              </w:rPr>
            </w:pPr>
            <w:r w:rsidRPr="005521B7">
              <w:rPr>
                <w:rFonts w:ascii="Arial Narrow" w:hAnsi="Arial Narrow"/>
                <w:bCs/>
                <w:color w:val="000000"/>
                <w:sz w:val="20"/>
              </w:rPr>
              <w:t xml:space="preserve">1. </w:t>
            </w:r>
            <w:r w:rsidRPr="005521B7">
              <w:rPr>
                <w:rFonts w:ascii="Arial Narrow" w:hAnsi="Arial Narrow"/>
                <w:bCs/>
                <w:color w:val="000000"/>
                <w:sz w:val="20"/>
              </w:rPr>
              <w:t>Autoevaluación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054ABC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054ABC">
              <w:rPr>
                <w:rFonts w:ascii="Arial Narrow" w:hAnsi="Arial Narrow"/>
                <w:bCs/>
                <w:color w:val="000000"/>
                <w:sz w:val="20"/>
              </w:rPr>
              <w:t>Mejora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9E6958">
              <w:rPr>
                <w:rFonts w:ascii="Arial Narrow" w:hAnsi="Arial Narrow"/>
                <w:bCs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9E6958">
              <w:rPr>
                <w:rFonts w:ascii="Arial Narrow" w:hAnsi="Arial Narrow"/>
                <w:bCs/>
                <w:color w:val="000000"/>
                <w:sz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9E6958">
              <w:rPr>
                <w:rFonts w:ascii="Arial Narrow" w:hAnsi="Arial Narrow"/>
                <w:bCs/>
                <w:color w:val="000000"/>
                <w:sz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9E6958">
              <w:rPr>
                <w:rFonts w:ascii="Arial Narrow" w:hAnsi="Arial Narrow"/>
                <w:bCs/>
                <w:color w:val="000000"/>
                <w:sz w:val="20"/>
              </w:rPr>
              <w:t>1</w:t>
            </w:r>
          </w:p>
        </w:tc>
      </w:tr>
      <w:tr w:rsidR="002758CD" w:rsidTr="000443D4">
        <w:trPr>
          <w:trHeight w:val="402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5521B7" w:rsidRDefault="00AC5522" w:rsidP="000443D4">
            <w:pPr>
              <w:rPr>
                <w:rFonts w:ascii="Arial Narrow" w:hAnsi="Arial Narrow"/>
                <w:bCs/>
                <w:color w:val="000000"/>
                <w:sz w:val="20"/>
              </w:rPr>
            </w:pPr>
            <w:r w:rsidRPr="005521B7">
              <w:rPr>
                <w:rFonts w:ascii="Arial Narrow" w:hAnsi="Arial Narrow"/>
                <w:bCs/>
                <w:color w:val="000000"/>
                <w:sz w:val="20"/>
              </w:rPr>
              <w:t xml:space="preserve">3. Auditoría del Sistema Integrado de Gestión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FB1D84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FB1D84">
              <w:rPr>
                <w:rFonts w:ascii="Arial Narrow" w:hAnsi="Arial Narrow"/>
                <w:bCs/>
                <w:color w:val="000000"/>
                <w:sz w:val="20"/>
              </w:rPr>
              <w:t>Correctiva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9E6958">
              <w:rPr>
                <w:rFonts w:ascii="Arial Narrow" w:hAnsi="Arial Narrow"/>
                <w:bCs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9E6958">
              <w:rPr>
                <w:rFonts w:ascii="Arial Narrow" w:hAnsi="Arial Narrow"/>
                <w:bCs/>
                <w:color w:val="000000"/>
                <w:sz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9E6958">
              <w:rPr>
                <w:rFonts w:ascii="Arial Narrow" w:hAnsi="Arial Narrow"/>
                <w:bCs/>
                <w:color w:val="000000"/>
                <w:sz w:val="20"/>
              </w:rPr>
              <w:t>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Cs/>
                <w:color w:val="000000"/>
                <w:sz w:val="20"/>
              </w:rPr>
            </w:pPr>
            <w:r w:rsidRPr="009E6958">
              <w:rPr>
                <w:rFonts w:ascii="Arial Narrow" w:hAnsi="Arial Narrow"/>
                <w:bCs/>
                <w:color w:val="000000"/>
                <w:sz w:val="20"/>
              </w:rPr>
              <w:t>1</w:t>
            </w:r>
          </w:p>
        </w:tc>
      </w:tr>
      <w:tr w:rsidR="002758CD" w:rsidTr="000443D4">
        <w:trPr>
          <w:trHeight w:val="429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rPr>
                <w:rFonts w:ascii="Arial Narrow" w:hAnsi="Arial Narrow"/>
                <w:sz w:val="20"/>
              </w:rPr>
            </w:pPr>
            <w:r>
              <w:rPr>
                <w:color w:val="000000"/>
                <w:sz w:val="18"/>
                <w:szCs w:val="18"/>
              </w:rPr>
              <w:t>6. Auditoria Fiscal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4F4746">
              <w:rPr>
                <w:rFonts w:ascii="Arial Narrow" w:hAnsi="Arial Narrow"/>
                <w:color w:val="000000"/>
                <w:sz w:val="20"/>
              </w:rPr>
              <w:t>Correctiva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</w:tr>
      <w:tr w:rsidR="002758CD" w:rsidTr="000443D4">
        <w:trPr>
          <w:trHeight w:val="429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FB1D84" w:rsidRDefault="00AC5522" w:rsidP="000443D4">
            <w:pPr>
              <w:rPr>
                <w:rFonts w:ascii="Arial Narrow" w:hAnsi="Arial Narrow"/>
                <w:color w:val="000000"/>
                <w:sz w:val="20"/>
              </w:rPr>
            </w:pPr>
            <w:r w:rsidRPr="00FB1D84">
              <w:rPr>
                <w:color w:val="000000"/>
                <w:sz w:val="18"/>
                <w:szCs w:val="18"/>
              </w:rPr>
              <w:t>8.1</w:t>
            </w:r>
            <w:r w:rsidRPr="00FB1D84">
              <w:rPr>
                <w:rFonts w:ascii="Arial Narrow" w:hAnsi="Arial Narrow"/>
                <w:color w:val="000000"/>
                <w:sz w:val="20"/>
              </w:rPr>
              <w:t xml:space="preserve">.  Antijurídico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4F4746">
              <w:rPr>
                <w:rFonts w:ascii="Arial Narrow" w:hAnsi="Arial Narrow"/>
                <w:color w:val="000000"/>
                <w:sz w:val="20"/>
              </w:rPr>
              <w:t>Preventiva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</w:tr>
      <w:tr w:rsidR="002758CD" w:rsidTr="000443D4">
        <w:trPr>
          <w:trHeight w:val="326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FB1D84" w:rsidRDefault="00AC5522" w:rsidP="000443D4">
            <w:pPr>
              <w:rPr>
                <w:rFonts w:ascii="Arial Narrow" w:hAnsi="Arial Narrow"/>
                <w:color w:val="000000"/>
                <w:sz w:val="20"/>
              </w:rPr>
            </w:pPr>
            <w:r w:rsidRPr="00FB1D84">
              <w:rPr>
                <w:color w:val="000000"/>
                <w:sz w:val="18"/>
                <w:szCs w:val="18"/>
              </w:rPr>
              <w:t>8.2</w:t>
            </w:r>
            <w:r w:rsidRPr="00FB1D84">
              <w:rPr>
                <w:rFonts w:ascii="Arial Narrow" w:hAnsi="Arial Narrow"/>
                <w:color w:val="000000"/>
                <w:sz w:val="20"/>
              </w:rPr>
              <w:t xml:space="preserve">.  Corrupción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4F4746">
              <w:rPr>
                <w:rFonts w:ascii="Arial Narrow" w:hAnsi="Arial Narrow"/>
                <w:color w:val="000000"/>
                <w:sz w:val="20"/>
              </w:rPr>
              <w:t>Preventiva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1</w:t>
            </w:r>
          </w:p>
        </w:tc>
      </w:tr>
      <w:tr w:rsidR="002758CD" w:rsidTr="000443D4">
        <w:trPr>
          <w:trHeight w:val="384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FB1D84" w:rsidRDefault="00AC5522" w:rsidP="000443D4">
            <w:pPr>
              <w:rPr>
                <w:rFonts w:ascii="Arial Narrow" w:hAnsi="Arial Narrow"/>
                <w:color w:val="000000"/>
                <w:sz w:val="20"/>
              </w:rPr>
            </w:pPr>
            <w:r w:rsidRPr="00FB1D84">
              <w:rPr>
                <w:color w:val="000000"/>
                <w:sz w:val="18"/>
                <w:szCs w:val="18"/>
              </w:rPr>
              <w:t>8.5</w:t>
            </w:r>
            <w:r w:rsidRPr="00FB1D84">
              <w:rPr>
                <w:rFonts w:ascii="Arial Narrow" w:hAnsi="Arial Narrow"/>
                <w:color w:val="000000"/>
                <w:sz w:val="20"/>
              </w:rPr>
              <w:t xml:space="preserve">.  Otros Riesgos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color w:val="000000"/>
                <w:sz w:val="20"/>
              </w:rPr>
              <w:t>Preventiva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2</w:t>
            </w:r>
          </w:p>
        </w:tc>
      </w:tr>
      <w:tr w:rsidR="002758CD" w:rsidTr="000443D4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2995" w:rsidRPr="00857CE7" w:rsidRDefault="00AC5522" w:rsidP="000443D4">
            <w:pPr>
              <w:rPr>
                <w:b/>
                <w:color w:val="000000"/>
                <w:sz w:val="18"/>
                <w:szCs w:val="18"/>
              </w:rPr>
            </w:pPr>
            <w:r w:rsidRPr="00857CE7">
              <w:rPr>
                <w:b/>
                <w:color w:val="000000"/>
                <w:sz w:val="18"/>
                <w:szCs w:val="18"/>
              </w:rPr>
              <w:t xml:space="preserve">TOTAL HALLAZGOS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2995" w:rsidRPr="004F4746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E6958">
              <w:rPr>
                <w:rFonts w:ascii="Arial Narrow" w:hAnsi="Arial Narrow"/>
                <w:b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E6958">
              <w:rPr>
                <w:rFonts w:ascii="Arial Narrow" w:hAnsi="Arial Narrow"/>
                <w:b/>
                <w:color w:val="000000"/>
                <w:sz w:val="20"/>
              </w:rPr>
              <w:t>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E6958">
              <w:rPr>
                <w:rFonts w:ascii="Arial Narrow" w:hAnsi="Arial Narrow"/>
                <w:b/>
                <w:color w:val="000000"/>
                <w:sz w:val="2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E6958">
              <w:rPr>
                <w:rFonts w:ascii="Arial Narrow" w:hAnsi="Arial Narrow"/>
                <w:b/>
                <w:color w:val="000000"/>
                <w:sz w:val="20"/>
              </w:rPr>
              <w:t>8</w:t>
            </w:r>
          </w:p>
        </w:tc>
      </w:tr>
      <w:tr w:rsidR="002758CD" w:rsidTr="000443D4">
        <w:trPr>
          <w:trHeight w:val="270"/>
        </w:trPr>
        <w:tc>
          <w:tcPr>
            <w:tcW w:w="889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E2995" w:rsidRPr="009E6958" w:rsidRDefault="00AC5522" w:rsidP="000443D4">
            <w:pPr>
              <w:rPr>
                <w:b/>
                <w:bCs/>
                <w:color w:val="000000"/>
                <w:sz w:val="20"/>
              </w:rPr>
            </w:pPr>
            <w:r w:rsidRPr="009E6958">
              <w:rPr>
                <w:b/>
                <w:bCs/>
                <w:color w:val="000000"/>
                <w:sz w:val="20"/>
              </w:rPr>
              <w:t>HALLAZGOS INGRESADOS EN EL PRIMER TRIMESTRE DE 2015</w:t>
            </w:r>
          </w:p>
        </w:tc>
      </w:tr>
      <w:tr w:rsidR="002758CD" w:rsidTr="000443D4">
        <w:trPr>
          <w:trHeight w:val="34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995" w:rsidRPr="004F4746" w:rsidRDefault="00AC5522" w:rsidP="000443D4">
            <w:pPr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995" w:rsidRPr="004F4746" w:rsidRDefault="00AC5522" w:rsidP="000443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9E6958">
              <w:rPr>
                <w:rFonts w:ascii="Arial Narrow" w:hAnsi="Arial Narrow"/>
                <w:color w:val="000000"/>
                <w:sz w:val="20"/>
              </w:rPr>
              <w:t>0</w:t>
            </w:r>
          </w:p>
        </w:tc>
      </w:tr>
      <w:tr w:rsidR="002758CD" w:rsidTr="000443D4">
        <w:trPr>
          <w:trHeight w:val="391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995" w:rsidRPr="004F4746" w:rsidRDefault="00AC5522" w:rsidP="000443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746">
              <w:rPr>
                <w:b/>
                <w:bCs/>
                <w:color w:val="000000"/>
                <w:sz w:val="20"/>
              </w:rPr>
              <w:t>TOTAL GENERAL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995" w:rsidRPr="004F4746" w:rsidRDefault="00AC5522" w:rsidP="000443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4746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E6958">
              <w:rPr>
                <w:rFonts w:ascii="Arial Narrow" w:hAnsi="Arial Narrow"/>
                <w:b/>
                <w:color w:val="000000"/>
                <w:sz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E6958">
              <w:rPr>
                <w:rFonts w:ascii="Arial Narrow" w:hAnsi="Arial Narrow"/>
                <w:b/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E6958">
              <w:rPr>
                <w:rFonts w:ascii="Arial Narrow" w:hAnsi="Arial Narrow"/>
                <w:b/>
                <w:color w:val="000000"/>
                <w:sz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E2995" w:rsidRPr="009E6958" w:rsidRDefault="00AC5522" w:rsidP="000443D4">
            <w:pPr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  <w:r w:rsidRPr="009E6958">
              <w:rPr>
                <w:rFonts w:ascii="Arial Narrow" w:hAnsi="Arial Narrow"/>
                <w:b/>
                <w:color w:val="000000"/>
                <w:sz w:val="20"/>
              </w:rPr>
              <w:t>8</w:t>
            </w:r>
          </w:p>
        </w:tc>
      </w:tr>
    </w:tbl>
    <w:p w:rsidR="008E2995" w:rsidRDefault="00AC5522" w:rsidP="008E2995">
      <w:pPr>
        <w:jc w:val="both"/>
        <w:rPr>
          <w:color w:val="000000"/>
          <w:sz w:val="16"/>
          <w:szCs w:val="16"/>
        </w:rPr>
      </w:pPr>
      <w:r w:rsidRPr="00610400">
        <w:rPr>
          <w:color w:val="000000"/>
          <w:sz w:val="16"/>
          <w:szCs w:val="16"/>
        </w:rPr>
        <w:t xml:space="preserve">Fuente: Plan de Mejoramiento </w:t>
      </w:r>
      <w:r>
        <w:rPr>
          <w:color w:val="000000"/>
          <w:sz w:val="16"/>
          <w:szCs w:val="16"/>
        </w:rPr>
        <w:t xml:space="preserve">Proceso Estudios de Economía y Política Pública a marzo de 2015  </w:t>
      </w:r>
    </w:p>
    <w:p w:rsidR="008E2995" w:rsidRDefault="00AC5522" w:rsidP="008E2995">
      <w:pPr>
        <w:tabs>
          <w:tab w:val="left" w:pos="1440"/>
        </w:tabs>
        <w:jc w:val="both"/>
        <w:rPr>
          <w:color w:val="000000"/>
          <w:szCs w:val="24"/>
        </w:rPr>
      </w:pPr>
    </w:p>
    <w:p w:rsidR="008E2995" w:rsidRPr="009E6958" w:rsidRDefault="00AC5522" w:rsidP="008E2995">
      <w:pPr>
        <w:tabs>
          <w:tab w:val="left" w:pos="1440"/>
        </w:tabs>
        <w:jc w:val="both"/>
        <w:rPr>
          <w:color w:val="000000"/>
          <w:szCs w:val="24"/>
        </w:rPr>
      </w:pPr>
      <w:r w:rsidRPr="005521B7">
        <w:rPr>
          <w:color w:val="000000"/>
          <w:szCs w:val="24"/>
        </w:rPr>
        <w:lastRenderedPageBreak/>
        <w:t>El cuadro</w:t>
      </w:r>
      <w:r>
        <w:rPr>
          <w:color w:val="000000"/>
          <w:szCs w:val="24"/>
        </w:rPr>
        <w:t xml:space="preserve"> anterior muestra,</w:t>
      </w:r>
      <w:r w:rsidRPr="005521B7">
        <w:rPr>
          <w:color w:val="000000"/>
          <w:szCs w:val="24"/>
        </w:rPr>
        <w:t xml:space="preserve"> que en el Plan de Mejoramiento del Proceso de </w:t>
      </w:r>
      <w:r w:rsidRPr="009E6958">
        <w:rPr>
          <w:color w:val="000000"/>
          <w:szCs w:val="24"/>
        </w:rPr>
        <w:t xml:space="preserve">Estudios de Economía y Política Pública, se cierra una (1) No Conformidad de origen 3-Auditoria </w:t>
      </w:r>
      <w:r w:rsidRPr="009E6958">
        <w:rPr>
          <w:bCs/>
          <w:color w:val="000000"/>
          <w:szCs w:val="24"/>
        </w:rPr>
        <w:t>del Sistema Integrado de Gestión,</w:t>
      </w:r>
      <w:r w:rsidRPr="009E6958">
        <w:rPr>
          <w:rFonts w:ascii="Arial Narrow" w:hAnsi="Arial Narrow"/>
          <w:bCs/>
          <w:color w:val="000000"/>
          <w:sz w:val="20"/>
        </w:rPr>
        <w:t xml:space="preserve"> </w:t>
      </w:r>
      <w:r>
        <w:rPr>
          <w:color w:val="000000"/>
          <w:szCs w:val="24"/>
        </w:rPr>
        <w:t>los dos (2) hallazgos</w:t>
      </w:r>
      <w:r w:rsidRPr="009E6958">
        <w:rPr>
          <w:color w:val="000000"/>
          <w:szCs w:val="24"/>
        </w:rPr>
        <w:t xml:space="preserve"> de origen 6 - Auditoría Fiscal se sugerirá el cierre al e</w:t>
      </w:r>
      <w:r w:rsidRPr="009E6958">
        <w:rPr>
          <w:color w:val="000000"/>
          <w:szCs w:val="24"/>
        </w:rPr>
        <w:t xml:space="preserve">nte de control, la acción de mejora de origen 1-Autoevaluación se encuentra abierta para seguimiento y los riesgos de origen 8.1, 8.2 y 8.5 -Riesgo Antijurídico, de corrupción y otros Riesgos continúan </w:t>
      </w:r>
      <w:r>
        <w:rPr>
          <w:color w:val="000000"/>
          <w:szCs w:val="24"/>
        </w:rPr>
        <w:t>abiertos para seguimiento.</w:t>
      </w:r>
      <w:r w:rsidRPr="009E6958">
        <w:rPr>
          <w:color w:val="000000"/>
          <w:szCs w:val="24"/>
        </w:rPr>
        <w:t xml:space="preserve"> </w:t>
      </w:r>
    </w:p>
    <w:p w:rsidR="008E2995" w:rsidRPr="00612EA8" w:rsidRDefault="00AC5522" w:rsidP="008E2995">
      <w:pPr>
        <w:tabs>
          <w:tab w:val="left" w:pos="1440"/>
        </w:tabs>
        <w:jc w:val="both"/>
        <w:rPr>
          <w:szCs w:val="24"/>
        </w:rPr>
      </w:pPr>
      <w:r w:rsidRPr="0070333B">
        <w:rPr>
          <w:szCs w:val="24"/>
        </w:rPr>
        <w:t xml:space="preserve"> </w:t>
      </w:r>
    </w:p>
    <w:p w:rsidR="008E2995" w:rsidRPr="002C271D" w:rsidRDefault="00AC5522" w:rsidP="008E2995">
      <w:pPr>
        <w:tabs>
          <w:tab w:val="left" w:pos="14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La Oficina de Control In</w:t>
      </w:r>
      <w:r>
        <w:rPr>
          <w:color w:val="000000"/>
          <w:szCs w:val="24"/>
        </w:rPr>
        <w:t xml:space="preserve">terno realizó verificación </w:t>
      </w:r>
      <w:r w:rsidRPr="006E6A45">
        <w:rPr>
          <w:color w:val="000000"/>
          <w:szCs w:val="24"/>
        </w:rPr>
        <w:t>a las acciones propuestas en el anexo 1-Plan de Mejoramiento a través de e</w:t>
      </w:r>
      <w:r w:rsidRPr="006E6A45">
        <w:rPr>
          <w:bCs/>
          <w:color w:val="000000"/>
          <w:szCs w:val="24"/>
        </w:rPr>
        <w:t>ntrevistas con los responsables del proceso, comprobación de l</w:t>
      </w:r>
      <w:r w:rsidRPr="006E6A45">
        <w:rPr>
          <w:color w:val="000000"/>
          <w:szCs w:val="24"/>
        </w:rPr>
        <w:t>a información y los</w:t>
      </w:r>
      <w:r w:rsidRPr="002C271D">
        <w:rPr>
          <w:color w:val="000000"/>
          <w:szCs w:val="24"/>
        </w:rPr>
        <w:t xml:space="preserve"> documentos que respaldan </w:t>
      </w:r>
      <w:r>
        <w:rPr>
          <w:color w:val="000000"/>
          <w:szCs w:val="24"/>
        </w:rPr>
        <w:t>el</w:t>
      </w:r>
      <w:r w:rsidRPr="002C271D">
        <w:rPr>
          <w:color w:val="000000"/>
          <w:szCs w:val="24"/>
        </w:rPr>
        <w:t xml:space="preserve"> cumplimiento</w:t>
      </w:r>
      <w:r>
        <w:rPr>
          <w:color w:val="000000"/>
          <w:szCs w:val="24"/>
        </w:rPr>
        <w:t xml:space="preserve"> y eficacia </w:t>
      </w:r>
      <w:r w:rsidRPr="009E6958">
        <w:rPr>
          <w:color w:val="000000"/>
          <w:szCs w:val="24"/>
        </w:rPr>
        <w:t>en el proceso de Estu</w:t>
      </w:r>
      <w:r w:rsidRPr="009E6958">
        <w:rPr>
          <w:color w:val="000000"/>
          <w:szCs w:val="24"/>
        </w:rPr>
        <w:t>dios de Economía y Política Pública,</w:t>
      </w:r>
      <w:r w:rsidRPr="00612EA8">
        <w:rPr>
          <w:szCs w:val="24"/>
        </w:rPr>
        <w:t xml:space="preserve"> </w:t>
      </w:r>
      <w:r>
        <w:rPr>
          <w:color w:val="000000"/>
          <w:szCs w:val="24"/>
        </w:rPr>
        <w:t xml:space="preserve">  estableciéndose </w:t>
      </w:r>
      <w:r w:rsidRPr="002C271D">
        <w:rPr>
          <w:color w:val="000000"/>
          <w:szCs w:val="24"/>
        </w:rPr>
        <w:t>el estado actual como se presenta a continuación:</w:t>
      </w:r>
    </w:p>
    <w:p w:rsidR="008E2995" w:rsidRPr="000A1758" w:rsidRDefault="00AC5522" w:rsidP="008E2995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8E2995" w:rsidRDefault="00AC5522" w:rsidP="008E2995">
      <w:pPr>
        <w:tabs>
          <w:tab w:val="left" w:pos="1440"/>
        </w:tabs>
        <w:jc w:val="both"/>
        <w:rPr>
          <w:b/>
          <w:szCs w:val="24"/>
        </w:rPr>
      </w:pPr>
      <w:r w:rsidRPr="00AC1B3D">
        <w:rPr>
          <w:b/>
          <w:szCs w:val="24"/>
        </w:rPr>
        <w:t>AUTOEVALUACIÓN</w:t>
      </w:r>
    </w:p>
    <w:p w:rsidR="008E2995" w:rsidRDefault="00AC5522" w:rsidP="008E2995">
      <w:pPr>
        <w:tabs>
          <w:tab w:val="left" w:pos="1440"/>
        </w:tabs>
        <w:jc w:val="both"/>
        <w:rPr>
          <w:b/>
          <w:szCs w:val="24"/>
        </w:rPr>
      </w:pPr>
    </w:p>
    <w:p w:rsidR="008E2995" w:rsidRDefault="00AC5522" w:rsidP="008E2995">
      <w:pPr>
        <w:tabs>
          <w:tab w:val="left" w:pos="1440"/>
        </w:tabs>
        <w:jc w:val="both"/>
        <w:rPr>
          <w:b/>
          <w:szCs w:val="24"/>
        </w:rPr>
      </w:pPr>
      <w:r>
        <w:rPr>
          <w:b/>
          <w:szCs w:val="24"/>
        </w:rPr>
        <w:t>1-Acciones de Mejora</w:t>
      </w:r>
    </w:p>
    <w:p w:rsidR="008E2995" w:rsidRDefault="00AC5522" w:rsidP="008E2995">
      <w:pPr>
        <w:tabs>
          <w:tab w:val="left" w:pos="1440"/>
        </w:tabs>
        <w:jc w:val="both"/>
        <w:rPr>
          <w:b/>
          <w:szCs w:val="24"/>
        </w:rPr>
      </w:pPr>
    </w:p>
    <w:p w:rsidR="008E2995" w:rsidRDefault="00AC5522" w:rsidP="008E2995">
      <w:pPr>
        <w:tabs>
          <w:tab w:val="left" w:pos="1440"/>
        </w:tabs>
        <w:jc w:val="both"/>
        <w:rPr>
          <w:color w:val="000000"/>
          <w:szCs w:val="24"/>
        </w:rPr>
      </w:pPr>
      <w:r w:rsidRPr="009E6958">
        <w:rPr>
          <w:color w:val="000000"/>
          <w:szCs w:val="24"/>
        </w:rPr>
        <w:t xml:space="preserve">Por este origen se registró una (1) acción de mejora formulada en el Informe de Gestión con corte a </w:t>
      </w:r>
      <w:r>
        <w:rPr>
          <w:color w:val="000000"/>
          <w:szCs w:val="24"/>
        </w:rPr>
        <w:t>D</w:t>
      </w:r>
      <w:r w:rsidRPr="009E6958">
        <w:rPr>
          <w:color w:val="000000"/>
          <w:szCs w:val="24"/>
        </w:rPr>
        <w:t xml:space="preserve">iciembre de 2014. </w:t>
      </w:r>
    </w:p>
    <w:p w:rsidR="008E2995" w:rsidRPr="00644D66" w:rsidRDefault="00AC5522" w:rsidP="008E2995">
      <w:pPr>
        <w:tabs>
          <w:tab w:val="left" w:pos="1440"/>
        </w:tabs>
        <w:jc w:val="both"/>
        <w:rPr>
          <w:color w:val="000000"/>
          <w:szCs w:val="24"/>
        </w:rPr>
      </w:pPr>
      <w:r w:rsidRPr="005F3EE5">
        <w:rPr>
          <w:b/>
          <w:color w:val="000000"/>
          <w:szCs w:val="24"/>
        </w:rPr>
        <w:t>Verificación a Marzo</w:t>
      </w:r>
      <w:r>
        <w:rPr>
          <w:color w:val="000000"/>
          <w:szCs w:val="24"/>
        </w:rPr>
        <w:t>. La</w:t>
      </w:r>
      <w:r w:rsidRPr="00644D66">
        <w:rPr>
          <w:color w:val="000000"/>
          <w:szCs w:val="24"/>
        </w:rPr>
        <w:t xml:space="preserve"> Dirección de Estudios de Economía y Política Pública a través del memorando No. 3-2015-01511 de enero 27 de 2015, remitió a la Dirección Sector Movilidad el Diagnóstico General del Distrito Capital y el Diagnósti</w:t>
      </w:r>
      <w:r w:rsidRPr="00644D66">
        <w:rPr>
          <w:color w:val="000000"/>
          <w:szCs w:val="24"/>
        </w:rPr>
        <w:t>co del Sector Movilidad, documento importante y necesario como insumo para el proceso auditor.</w:t>
      </w:r>
    </w:p>
    <w:p w:rsidR="008E2995" w:rsidRPr="009E6958" w:rsidRDefault="00AC5522" w:rsidP="008E2995">
      <w:pPr>
        <w:tabs>
          <w:tab w:val="left" w:pos="1440"/>
        </w:tabs>
        <w:jc w:val="both"/>
        <w:rPr>
          <w:color w:val="000000"/>
          <w:szCs w:val="24"/>
        </w:rPr>
      </w:pPr>
      <w:r w:rsidRPr="00644D66">
        <w:rPr>
          <w:color w:val="000000"/>
          <w:szCs w:val="24"/>
        </w:rPr>
        <w:t>El Proceso de E.E.P.P. para el cumpli</w:t>
      </w:r>
      <w:r>
        <w:rPr>
          <w:color w:val="000000"/>
          <w:szCs w:val="24"/>
        </w:rPr>
        <w:t xml:space="preserve">miento de la acción de mejora </w:t>
      </w:r>
      <w:r w:rsidRPr="00644D66">
        <w:rPr>
          <w:color w:val="000000"/>
          <w:szCs w:val="24"/>
        </w:rPr>
        <w:t>programó documentar el Procedimiento para la elaboración de los Diagnósticos Sectoriales duran</w:t>
      </w:r>
      <w:r w:rsidRPr="00644D66">
        <w:rPr>
          <w:color w:val="000000"/>
          <w:szCs w:val="24"/>
        </w:rPr>
        <w:t xml:space="preserve">te el último trimestre de 2015. </w:t>
      </w:r>
      <w:r w:rsidRPr="009E6958">
        <w:rPr>
          <w:color w:val="000000"/>
          <w:szCs w:val="24"/>
        </w:rPr>
        <w:t xml:space="preserve">  </w:t>
      </w:r>
    </w:p>
    <w:p w:rsidR="008E2995" w:rsidRPr="009E6958" w:rsidRDefault="00AC5522" w:rsidP="008E2995">
      <w:pPr>
        <w:tabs>
          <w:tab w:val="left" w:pos="1440"/>
        </w:tabs>
        <w:jc w:val="both"/>
        <w:rPr>
          <w:color w:val="000000"/>
          <w:szCs w:val="24"/>
        </w:rPr>
      </w:pPr>
    </w:p>
    <w:p w:rsidR="008E2995" w:rsidRDefault="00AC5522" w:rsidP="008E2995">
      <w:pPr>
        <w:tabs>
          <w:tab w:val="left" w:pos="1440"/>
        </w:tabs>
        <w:jc w:val="both"/>
        <w:rPr>
          <w:b/>
          <w:szCs w:val="24"/>
        </w:rPr>
      </w:pPr>
      <w:r w:rsidRPr="00AC1B3D">
        <w:rPr>
          <w:b/>
          <w:szCs w:val="24"/>
        </w:rPr>
        <w:t>ACCIONES CORRECTIVAS</w:t>
      </w:r>
    </w:p>
    <w:p w:rsidR="008E2995" w:rsidRDefault="00AC5522" w:rsidP="008E2995">
      <w:pPr>
        <w:tabs>
          <w:tab w:val="left" w:pos="1440"/>
        </w:tabs>
        <w:jc w:val="both"/>
        <w:rPr>
          <w:b/>
          <w:szCs w:val="24"/>
        </w:rPr>
      </w:pPr>
    </w:p>
    <w:p w:rsidR="008E2995" w:rsidRDefault="00AC5522" w:rsidP="008E2995">
      <w:pPr>
        <w:tabs>
          <w:tab w:val="left" w:pos="1440"/>
        </w:tabs>
        <w:jc w:val="both"/>
        <w:rPr>
          <w:b/>
          <w:bCs/>
          <w:color w:val="000000"/>
          <w:szCs w:val="24"/>
        </w:rPr>
      </w:pPr>
      <w:r>
        <w:rPr>
          <w:b/>
          <w:szCs w:val="24"/>
        </w:rPr>
        <w:t>3-</w:t>
      </w:r>
      <w:r w:rsidRPr="005521B7">
        <w:rPr>
          <w:b/>
          <w:bCs/>
          <w:color w:val="000000"/>
          <w:szCs w:val="24"/>
        </w:rPr>
        <w:t>Auditoría del Sistema Integrado de Gestión</w:t>
      </w:r>
    </w:p>
    <w:p w:rsidR="008E2995" w:rsidRDefault="00AC5522" w:rsidP="008E2995">
      <w:pPr>
        <w:tabs>
          <w:tab w:val="left" w:pos="1440"/>
        </w:tabs>
        <w:jc w:val="both"/>
        <w:rPr>
          <w:b/>
          <w:bCs/>
          <w:color w:val="000000"/>
          <w:szCs w:val="24"/>
        </w:rPr>
      </w:pPr>
    </w:p>
    <w:p w:rsidR="008E2995" w:rsidRPr="008E62AE" w:rsidRDefault="00AC5522" w:rsidP="008E2995">
      <w:pPr>
        <w:tabs>
          <w:tab w:val="left" w:pos="1440"/>
        </w:tabs>
        <w:jc w:val="both"/>
        <w:rPr>
          <w:bCs/>
          <w:color w:val="000000"/>
          <w:szCs w:val="24"/>
        </w:rPr>
      </w:pPr>
      <w:r w:rsidRPr="009E6958">
        <w:rPr>
          <w:bCs/>
          <w:color w:val="000000"/>
          <w:szCs w:val="24"/>
        </w:rPr>
        <w:t>La</w:t>
      </w:r>
      <w:r w:rsidRPr="009E6958">
        <w:rPr>
          <w:color w:val="000000"/>
          <w:szCs w:val="24"/>
        </w:rPr>
        <w:t xml:space="preserve"> No Conformidad “</w:t>
      </w:r>
      <w:r w:rsidRPr="009E6958">
        <w:rPr>
          <w:i/>
          <w:color w:val="000000"/>
          <w:szCs w:val="24"/>
        </w:rPr>
        <w:t>Se evidenció el establecimiento de procesos no necesarios para la realización de los productos”,</w:t>
      </w:r>
      <w:r w:rsidRPr="00612EA8">
        <w:rPr>
          <w:i/>
          <w:szCs w:val="24"/>
        </w:rPr>
        <w:t xml:space="preserve"> </w:t>
      </w:r>
      <w:r w:rsidRPr="008E62AE">
        <w:rPr>
          <w:bCs/>
          <w:color w:val="000000"/>
          <w:szCs w:val="24"/>
        </w:rPr>
        <w:t>Se cierra</w:t>
      </w:r>
      <w:r>
        <w:rPr>
          <w:bCs/>
          <w:color w:val="000000"/>
          <w:szCs w:val="24"/>
        </w:rPr>
        <w:t>, l</w:t>
      </w:r>
      <w:r w:rsidRPr="008E62AE">
        <w:rPr>
          <w:bCs/>
          <w:color w:val="000000"/>
          <w:szCs w:val="24"/>
        </w:rPr>
        <w:t xml:space="preserve">a Oficina de Control Interno verificó que mediante Resolución Reglamentaria No. 046 de Diciembre 31 de 2014 se adopta la versión 8.0 </w:t>
      </w:r>
      <w:r w:rsidRPr="00117EDE">
        <w:rPr>
          <w:bCs/>
          <w:color w:val="000000"/>
          <w:szCs w:val="24"/>
        </w:rPr>
        <w:t>CARACTERIZACION DEL PROCESO DE ESTUDIOS DE ECONOMIA Y POLITICA PUBLICA.</w:t>
      </w:r>
    </w:p>
    <w:p w:rsidR="008E2995" w:rsidRDefault="00AC5522" w:rsidP="008E2995">
      <w:pPr>
        <w:jc w:val="both"/>
        <w:rPr>
          <w:b/>
          <w:color w:val="000000"/>
          <w:szCs w:val="24"/>
        </w:rPr>
      </w:pPr>
    </w:p>
    <w:p w:rsidR="008E2995" w:rsidRPr="005521B7" w:rsidRDefault="00AC5522" w:rsidP="008E2995">
      <w:pPr>
        <w:jc w:val="both"/>
        <w:rPr>
          <w:b/>
          <w:color w:val="000000"/>
          <w:szCs w:val="24"/>
        </w:rPr>
      </w:pPr>
      <w:r w:rsidRPr="005521B7">
        <w:rPr>
          <w:b/>
          <w:color w:val="000000"/>
          <w:szCs w:val="24"/>
        </w:rPr>
        <w:t xml:space="preserve">6-Auditoría Fiscal  </w:t>
      </w:r>
    </w:p>
    <w:p w:rsidR="008E2995" w:rsidRDefault="00AC5522" w:rsidP="008E2995">
      <w:pPr>
        <w:jc w:val="both"/>
        <w:rPr>
          <w:b/>
          <w:szCs w:val="24"/>
        </w:rPr>
      </w:pPr>
    </w:p>
    <w:p w:rsidR="008E2995" w:rsidRPr="009E6958" w:rsidRDefault="00AC5522" w:rsidP="008E2995">
      <w:pPr>
        <w:jc w:val="both"/>
        <w:rPr>
          <w:color w:val="000000"/>
          <w:szCs w:val="24"/>
        </w:rPr>
      </w:pPr>
      <w:r w:rsidRPr="007363F7">
        <w:rPr>
          <w:b/>
          <w:color w:val="000000"/>
          <w:szCs w:val="24"/>
        </w:rPr>
        <w:t>Los Hallazgos 2.2.3.1 y 2.8.</w:t>
      </w:r>
      <w:r w:rsidRPr="007363F7">
        <w:rPr>
          <w:b/>
          <w:color w:val="000000"/>
          <w:szCs w:val="24"/>
        </w:rPr>
        <w:t>2 -</w:t>
      </w:r>
      <w:r>
        <w:rPr>
          <w:color w:val="000000"/>
          <w:szCs w:val="24"/>
        </w:rPr>
        <w:t xml:space="preserve"> </w:t>
      </w:r>
      <w:r w:rsidRPr="007363F7">
        <w:rPr>
          <w:color w:val="000000"/>
          <w:szCs w:val="24"/>
        </w:rPr>
        <w:t xml:space="preserve">Informe Final de Auditoría vigencia 2012- PAAF </w:t>
      </w:r>
      <w:r w:rsidRPr="009E6958">
        <w:rPr>
          <w:color w:val="000000"/>
          <w:szCs w:val="24"/>
        </w:rPr>
        <w:t>2013 - 30 de octubre de 2013</w:t>
      </w:r>
      <w:r>
        <w:rPr>
          <w:color w:val="000000"/>
          <w:szCs w:val="24"/>
        </w:rPr>
        <w:t xml:space="preserve">, se solicitará a la </w:t>
      </w:r>
      <w:r w:rsidRPr="009E6958">
        <w:rPr>
          <w:color w:val="000000"/>
          <w:szCs w:val="24"/>
        </w:rPr>
        <w:t>Auditoria Fiscal, el cierre, habida cuenta del cumplimiento del objetivo trazado en la acción.</w:t>
      </w:r>
    </w:p>
    <w:p w:rsidR="008E2995" w:rsidRPr="009E6958" w:rsidRDefault="00AC5522" w:rsidP="008E2995">
      <w:pPr>
        <w:jc w:val="both"/>
        <w:rPr>
          <w:color w:val="000000"/>
          <w:szCs w:val="24"/>
        </w:rPr>
      </w:pPr>
      <w:r w:rsidRPr="009E6958">
        <w:rPr>
          <w:color w:val="000000"/>
          <w:szCs w:val="24"/>
        </w:rPr>
        <w:t xml:space="preserve"> </w:t>
      </w:r>
    </w:p>
    <w:p w:rsidR="008E2995" w:rsidRPr="009E6958" w:rsidRDefault="00AC5522" w:rsidP="008E2995">
      <w:pPr>
        <w:jc w:val="both"/>
        <w:rPr>
          <w:color w:val="000000"/>
          <w:szCs w:val="24"/>
        </w:rPr>
      </w:pPr>
      <w:r w:rsidRPr="009E6958">
        <w:rPr>
          <w:color w:val="000000"/>
          <w:szCs w:val="24"/>
        </w:rPr>
        <w:lastRenderedPageBreak/>
        <w:t>Respecto al hallazgo 2.8.2, se observó que en el trámite de</w:t>
      </w:r>
      <w:r w:rsidRPr="009E6958">
        <w:rPr>
          <w:color w:val="000000"/>
          <w:szCs w:val="24"/>
        </w:rPr>
        <w:t xml:space="preserve"> los DPC, fueron resueltos con pronunciamiento de fondo y </w:t>
      </w:r>
      <w:r>
        <w:rPr>
          <w:color w:val="000000"/>
          <w:szCs w:val="24"/>
        </w:rPr>
        <w:t xml:space="preserve">los </w:t>
      </w:r>
      <w:r w:rsidRPr="00FE48EE">
        <w:rPr>
          <w:color w:val="000000"/>
          <w:szCs w:val="24"/>
        </w:rPr>
        <w:t>que no correspondían a</w:t>
      </w:r>
      <w:r>
        <w:rPr>
          <w:szCs w:val="24"/>
        </w:rPr>
        <w:t xml:space="preserve"> </w:t>
      </w:r>
      <w:r w:rsidRPr="009E6958">
        <w:rPr>
          <w:color w:val="000000"/>
          <w:szCs w:val="24"/>
        </w:rPr>
        <w:t>su competencia se trasladaron dentro de los términos a las Direcciones Sectoriales.</w:t>
      </w:r>
    </w:p>
    <w:p w:rsidR="008E2995" w:rsidRDefault="00AC5522" w:rsidP="008E2995">
      <w:pPr>
        <w:rPr>
          <w:b/>
          <w:color w:val="000000"/>
        </w:rPr>
      </w:pPr>
    </w:p>
    <w:p w:rsidR="008E2995" w:rsidRPr="009E6958" w:rsidRDefault="00AC5522" w:rsidP="008E2995">
      <w:pPr>
        <w:rPr>
          <w:b/>
          <w:color w:val="000000"/>
        </w:rPr>
      </w:pPr>
      <w:r w:rsidRPr="009E6958">
        <w:rPr>
          <w:b/>
          <w:color w:val="000000"/>
        </w:rPr>
        <w:t>ACCIONES PREVENTIVAS</w:t>
      </w:r>
    </w:p>
    <w:p w:rsidR="008E2995" w:rsidRPr="009E6958" w:rsidRDefault="00AC5522" w:rsidP="008E2995">
      <w:pPr>
        <w:rPr>
          <w:b/>
          <w:color w:val="000000"/>
        </w:rPr>
      </w:pPr>
    </w:p>
    <w:p w:rsidR="008E2995" w:rsidRDefault="00AC5522" w:rsidP="008E2995">
      <w:pPr>
        <w:rPr>
          <w:b/>
        </w:rPr>
      </w:pPr>
      <w:r>
        <w:rPr>
          <w:b/>
        </w:rPr>
        <w:t>8 - Riesgos</w:t>
      </w:r>
    </w:p>
    <w:p w:rsidR="008E2995" w:rsidRPr="005521B7" w:rsidRDefault="00AC5522" w:rsidP="008E2995">
      <w:pPr>
        <w:rPr>
          <w:color w:val="000000"/>
        </w:rPr>
      </w:pPr>
    </w:p>
    <w:p w:rsidR="008E2995" w:rsidRPr="009E6958" w:rsidRDefault="00AC5522" w:rsidP="008E299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El Proceso de Estudios de Economía y Política </w:t>
      </w:r>
      <w:r>
        <w:rPr>
          <w:color w:val="000000"/>
          <w:szCs w:val="24"/>
        </w:rPr>
        <w:t>Pública formuló</w:t>
      </w:r>
      <w:r w:rsidRPr="005521B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los riesgos aplicando el Procedimiento para Elaborar el Mapa de Riesgos Institucional donde se tuvo en cuenta la </w:t>
      </w:r>
      <w:r w:rsidRPr="005521B7">
        <w:rPr>
          <w:color w:val="000000"/>
          <w:szCs w:val="24"/>
        </w:rPr>
        <w:t>identificación, clasificación, análisis y valoración</w:t>
      </w:r>
      <w:r>
        <w:rPr>
          <w:color w:val="000000"/>
          <w:szCs w:val="24"/>
        </w:rPr>
        <w:t xml:space="preserve"> </w:t>
      </w:r>
      <w:r w:rsidRPr="009E6958">
        <w:rPr>
          <w:color w:val="000000"/>
          <w:szCs w:val="24"/>
        </w:rPr>
        <w:t>de cuatro (4) riesgos, los cuales corresponden a Riesgos Antijurídicos, de</w:t>
      </w:r>
      <w:r w:rsidRPr="009E6958">
        <w:rPr>
          <w:color w:val="000000"/>
          <w:szCs w:val="24"/>
        </w:rPr>
        <w:t xml:space="preserve"> Corrupción y Otros Riesgos, así:  </w:t>
      </w:r>
    </w:p>
    <w:p w:rsidR="008E2995" w:rsidRPr="00185B43" w:rsidRDefault="00AC5522" w:rsidP="008E2995">
      <w:pPr>
        <w:jc w:val="both"/>
      </w:pPr>
      <w:r w:rsidRPr="00185B43">
        <w:t xml:space="preserve"> </w:t>
      </w:r>
    </w:p>
    <w:p w:rsidR="008E2995" w:rsidRPr="009E6958" w:rsidRDefault="00AC5522" w:rsidP="008E2995">
      <w:pPr>
        <w:numPr>
          <w:ilvl w:val="1"/>
          <w:numId w:val="1"/>
        </w:numPr>
        <w:jc w:val="both"/>
        <w:rPr>
          <w:i/>
          <w:color w:val="000000"/>
          <w:szCs w:val="24"/>
        </w:rPr>
      </w:pPr>
      <w:r>
        <w:t xml:space="preserve"> </w:t>
      </w:r>
      <w:r w:rsidRPr="009E6958">
        <w:rPr>
          <w:color w:val="000000"/>
        </w:rPr>
        <w:t>Antijurídico-“</w:t>
      </w:r>
      <w:r w:rsidRPr="009E6958">
        <w:rPr>
          <w:i/>
          <w:color w:val="000000"/>
        </w:rPr>
        <w:t xml:space="preserve">Incurrir en plagio o presentación de información no veraz en alguno de sus informes, estudios y pronunciamientos generados en el Proceso Estudios de Economía y Política Pública”. </w:t>
      </w:r>
    </w:p>
    <w:p w:rsidR="008E2995" w:rsidRPr="009E6958" w:rsidRDefault="00AC5522" w:rsidP="008E2995">
      <w:pPr>
        <w:ind w:left="360"/>
        <w:jc w:val="both"/>
        <w:rPr>
          <w:i/>
          <w:color w:val="000000"/>
          <w:szCs w:val="24"/>
        </w:rPr>
      </w:pPr>
    </w:p>
    <w:p w:rsidR="008E2995" w:rsidRDefault="00AC5522" w:rsidP="008E2995">
      <w:pPr>
        <w:ind w:left="360"/>
        <w:jc w:val="both"/>
        <w:rPr>
          <w:color w:val="000000"/>
          <w:szCs w:val="24"/>
        </w:rPr>
      </w:pPr>
      <w:r w:rsidRPr="00292D72">
        <w:rPr>
          <w:color w:val="000000"/>
          <w:szCs w:val="24"/>
        </w:rPr>
        <w:t xml:space="preserve">Se verificó que los </w:t>
      </w:r>
      <w:r w:rsidRPr="00292D72">
        <w:rPr>
          <w:color w:val="000000"/>
          <w:szCs w:val="24"/>
        </w:rPr>
        <w:t>Servidores Públicos de la Subdirección de Estadísticas y Análisis Presupuestal y Financiero</w:t>
      </w:r>
      <w:r>
        <w:rPr>
          <w:color w:val="000000"/>
          <w:szCs w:val="24"/>
        </w:rPr>
        <w:t xml:space="preserve"> a través del documento  Pacto É</w:t>
      </w:r>
      <w:r w:rsidRPr="00292D72">
        <w:rPr>
          <w:color w:val="000000"/>
          <w:szCs w:val="24"/>
        </w:rPr>
        <w:t xml:space="preserve">tico del 10 y 19 de febrero de 2015, manifiestan que se encuentran atentos para que esté acorde con la normatividad vigente amparada </w:t>
      </w:r>
      <w:r w:rsidRPr="00292D72">
        <w:rPr>
          <w:color w:val="000000"/>
          <w:szCs w:val="24"/>
        </w:rPr>
        <w:t>en parámetros de conservación de d</w:t>
      </w:r>
      <w:r>
        <w:rPr>
          <w:color w:val="000000"/>
          <w:szCs w:val="24"/>
        </w:rPr>
        <w:t>e</w:t>
      </w:r>
      <w:r w:rsidRPr="00292D72">
        <w:rPr>
          <w:color w:val="000000"/>
          <w:szCs w:val="24"/>
        </w:rPr>
        <w:t>rechos de autor, con el fin de af</w:t>
      </w:r>
      <w:r>
        <w:rPr>
          <w:color w:val="000000"/>
          <w:szCs w:val="24"/>
        </w:rPr>
        <w:t>ianzar el compromiso ético y</w:t>
      </w:r>
      <w:r w:rsidRPr="00292D72">
        <w:rPr>
          <w:color w:val="000000"/>
          <w:szCs w:val="24"/>
        </w:rPr>
        <w:t xml:space="preserve"> evitar el daño antijurídico de acuerdo a lo establecido en los memorandos Nos. 20000-165 de abril 23 de 2007 y 160000-29134 de diciembre 14 de 2012, con radica</w:t>
      </w:r>
      <w:r w:rsidRPr="00292D72">
        <w:rPr>
          <w:color w:val="000000"/>
          <w:szCs w:val="24"/>
        </w:rPr>
        <w:t>do No. 3-2012-33211.</w:t>
      </w:r>
    </w:p>
    <w:p w:rsidR="008E2995" w:rsidRPr="009E6958" w:rsidRDefault="00AC5522" w:rsidP="008E2995">
      <w:pPr>
        <w:ind w:left="360"/>
        <w:jc w:val="both"/>
        <w:rPr>
          <w:color w:val="000000"/>
          <w:szCs w:val="24"/>
        </w:rPr>
      </w:pPr>
    </w:p>
    <w:p w:rsidR="008E2995" w:rsidRPr="009E6958" w:rsidRDefault="00AC5522" w:rsidP="008E2995">
      <w:pPr>
        <w:numPr>
          <w:ilvl w:val="1"/>
          <w:numId w:val="1"/>
        </w:numPr>
        <w:jc w:val="both"/>
        <w:rPr>
          <w:i/>
          <w:color w:val="000000"/>
        </w:rPr>
      </w:pPr>
      <w:r w:rsidRPr="00612EA8">
        <w:t xml:space="preserve"> </w:t>
      </w:r>
      <w:r w:rsidRPr="009E6958">
        <w:rPr>
          <w:color w:val="000000"/>
        </w:rPr>
        <w:t>Corrupción-“</w:t>
      </w:r>
      <w:r w:rsidRPr="009E6958">
        <w:rPr>
          <w:i/>
          <w:color w:val="000000"/>
        </w:rPr>
        <w:t xml:space="preserve">Orientar intencionalmente los informes y estudios de economía y política pública para favorecer a un tercero”. </w:t>
      </w:r>
    </w:p>
    <w:p w:rsidR="008E2995" w:rsidRPr="009E6958" w:rsidRDefault="00AC5522" w:rsidP="008E2995">
      <w:pPr>
        <w:jc w:val="both"/>
        <w:rPr>
          <w:i/>
          <w:color w:val="000000"/>
        </w:rPr>
      </w:pPr>
    </w:p>
    <w:p w:rsidR="008E2995" w:rsidRPr="00BC37F8" w:rsidRDefault="00AC5522" w:rsidP="008E2995">
      <w:pPr>
        <w:jc w:val="both"/>
        <w:rPr>
          <w:color w:val="000000"/>
        </w:rPr>
      </w:pPr>
      <w:r w:rsidRPr="00BC37F8">
        <w:rPr>
          <w:color w:val="000000"/>
        </w:rPr>
        <w:t>La Dirección de Estudios de Economía y Política Pública a través del memorando No. 3-2015-02563 de febrero 5</w:t>
      </w:r>
      <w:r w:rsidRPr="00BC37F8">
        <w:rPr>
          <w:color w:val="000000"/>
        </w:rPr>
        <w:t xml:space="preserve"> de 2015, solicita a la Dirección de Talento Humano la realización de una </w:t>
      </w:r>
      <w:r w:rsidRPr="00FE48EE">
        <w:rPr>
          <w:color w:val="000000"/>
        </w:rPr>
        <w:t>capacitación en temas relacionados</w:t>
      </w:r>
      <w:r w:rsidRPr="00BC37F8">
        <w:rPr>
          <w:color w:val="000000"/>
        </w:rPr>
        <w:t xml:space="preserve"> con las diferentes formas de corrupción en las entidades públicas y sus implicaciones, para los Servidores Públicos adscritos a la Dirección.</w:t>
      </w:r>
    </w:p>
    <w:p w:rsidR="008E2995" w:rsidRDefault="00AC5522" w:rsidP="008E2995">
      <w:pPr>
        <w:jc w:val="both"/>
        <w:rPr>
          <w:i/>
          <w:color w:val="000000"/>
        </w:rPr>
      </w:pPr>
    </w:p>
    <w:p w:rsidR="008E2995" w:rsidRPr="008519BE" w:rsidRDefault="00AC5522" w:rsidP="008E2995">
      <w:pPr>
        <w:numPr>
          <w:ilvl w:val="1"/>
          <w:numId w:val="2"/>
        </w:numPr>
        <w:jc w:val="both"/>
        <w:rPr>
          <w:i/>
          <w:color w:val="000000"/>
          <w:szCs w:val="24"/>
        </w:rPr>
      </w:pPr>
      <w:r w:rsidRPr="009E6958">
        <w:rPr>
          <w:color w:val="000000"/>
        </w:rPr>
        <w:t>Otros Riesgos-“</w:t>
      </w:r>
      <w:r w:rsidRPr="009E6958">
        <w:rPr>
          <w:i/>
          <w:color w:val="000000"/>
        </w:rPr>
        <w:t>Incumplir con el objetivo del proceso de EEPP, al no disponer de información confiable y oportuna de la reportada por los sujetos de control en la rendición de la cuenta, a través del Sistema  SIVICOF, para la elaboración de los informes y e</w:t>
      </w:r>
      <w:r w:rsidRPr="009E6958">
        <w:rPr>
          <w:i/>
          <w:color w:val="000000"/>
        </w:rPr>
        <w:t>studios planificados en el PAE”.</w:t>
      </w:r>
    </w:p>
    <w:p w:rsidR="008E2995" w:rsidRPr="009E6958" w:rsidRDefault="00AC5522" w:rsidP="008E2995">
      <w:pPr>
        <w:ind w:left="465"/>
        <w:jc w:val="both"/>
        <w:rPr>
          <w:i/>
          <w:color w:val="000000"/>
          <w:szCs w:val="24"/>
        </w:rPr>
      </w:pPr>
    </w:p>
    <w:p w:rsidR="008E2995" w:rsidRPr="008519BE" w:rsidRDefault="00AC5522" w:rsidP="008E2995">
      <w:pPr>
        <w:jc w:val="both"/>
        <w:rPr>
          <w:color w:val="000000"/>
        </w:rPr>
      </w:pPr>
      <w:r w:rsidRPr="008519BE">
        <w:rPr>
          <w:color w:val="000000"/>
        </w:rPr>
        <w:t>El Proceso de Estudios de Economía y Política</w:t>
      </w:r>
      <w:r>
        <w:rPr>
          <w:color w:val="000000"/>
        </w:rPr>
        <w:t xml:space="preserve"> </w:t>
      </w:r>
      <w:r w:rsidRPr="008519BE">
        <w:rPr>
          <w:color w:val="000000"/>
        </w:rPr>
        <w:t>Pública a través del memorando No. 3-2015-02570 de febrero 5 de 2015, solicitó a las Subdirecciones de Estudios de  Economía y Política Pública efectuar las comunicaciones de m</w:t>
      </w:r>
      <w:r w:rsidRPr="008519BE">
        <w:rPr>
          <w:color w:val="000000"/>
        </w:rPr>
        <w:t>anera formal y oportuna a la Dirección de las Tics</w:t>
      </w:r>
      <w:r>
        <w:rPr>
          <w:color w:val="000000"/>
        </w:rPr>
        <w:t>,</w:t>
      </w:r>
      <w:r w:rsidRPr="008519BE">
        <w:rPr>
          <w:color w:val="000000"/>
        </w:rPr>
        <w:t xml:space="preserve"> sobre las fallas e inconsistencias detectadas en la </w:t>
      </w:r>
      <w:r w:rsidRPr="008519BE">
        <w:rPr>
          <w:color w:val="000000"/>
        </w:rPr>
        <w:lastRenderedPageBreak/>
        <w:t>información consultada y procesada</w:t>
      </w:r>
      <w:r>
        <w:rPr>
          <w:color w:val="000000"/>
        </w:rPr>
        <w:t xml:space="preserve"> a través de aplicativo</w:t>
      </w:r>
      <w:r w:rsidRPr="008519BE">
        <w:rPr>
          <w:color w:val="000000"/>
        </w:rPr>
        <w:t xml:space="preserve"> SIVICOF y en el caso de requerir nuevos desarrollos de la plataforma informática realizar la s</w:t>
      </w:r>
      <w:r w:rsidRPr="008519BE">
        <w:rPr>
          <w:color w:val="000000"/>
        </w:rPr>
        <w:t xml:space="preserve">olicitud con sus especificaciones, al cual se </w:t>
      </w:r>
      <w:r>
        <w:rPr>
          <w:color w:val="000000"/>
        </w:rPr>
        <w:t xml:space="preserve">le </w:t>
      </w:r>
      <w:r w:rsidRPr="008519BE">
        <w:rPr>
          <w:color w:val="000000"/>
        </w:rPr>
        <w:t xml:space="preserve">hará el seguimiento respectivo. </w:t>
      </w:r>
    </w:p>
    <w:p w:rsidR="008E2995" w:rsidRDefault="00AC5522" w:rsidP="008E2995">
      <w:pPr>
        <w:jc w:val="both"/>
        <w:rPr>
          <w:color w:val="000000"/>
        </w:rPr>
      </w:pPr>
      <w:r w:rsidRPr="008519BE">
        <w:rPr>
          <w:color w:val="000000"/>
        </w:rPr>
        <w:t xml:space="preserve"> </w:t>
      </w:r>
      <w:r>
        <w:rPr>
          <w:color w:val="000000"/>
        </w:rPr>
        <w:t xml:space="preserve">Se constataron las </w:t>
      </w:r>
      <w:r w:rsidRPr="008519BE">
        <w:rPr>
          <w:color w:val="000000"/>
        </w:rPr>
        <w:t>comunicaciones vía Outl</w:t>
      </w:r>
      <w:r>
        <w:rPr>
          <w:color w:val="000000"/>
        </w:rPr>
        <w:t xml:space="preserve">ook del 19 de enero </w:t>
      </w:r>
      <w:r w:rsidRPr="008519BE">
        <w:rPr>
          <w:color w:val="000000"/>
        </w:rPr>
        <w:t xml:space="preserve">y 19 de febrero de 2015, por medio del cual se informó a la Dirección de las Tics las dificultades presentadas </w:t>
      </w:r>
      <w:r w:rsidRPr="008519BE">
        <w:rPr>
          <w:color w:val="000000"/>
        </w:rPr>
        <w:t xml:space="preserve">en el manejo de la información del Aplicativo SIVICOF.   </w:t>
      </w:r>
    </w:p>
    <w:p w:rsidR="008E2995" w:rsidRDefault="00AC5522" w:rsidP="008E2995">
      <w:pPr>
        <w:jc w:val="both"/>
        <w:rPr>
          <w:color w:val="000000"/>
          <w:szCs w:val="24"/>
        </w:rPr>
      </w:pPr>
      <w:r w:rsidRPr="008519BE">
        <w:rPr>
          <w:color w:val="000000"/>
        </w:rPr>
        <w:t xml:space="preserve">  </w:t>
      </w:r>
    </w:p>
    <w:p w:rsidR="008E2995" w:rsidRDefault="00AC5522" w:rsidP="008E2995">
      <w:pPr>
        <w:jc w:val="both"/>
        <w:rPr>
          <w:i/>
          <w:color w:val="000000"/>
          <w:szCs w:val="24"/>
        </w:rPr>
      </w:pPr>
      <w:r w:rsidRPr="00BE2647">
        <w:rPr>
          <w:b/>
          <w:color w:val="000000"/>
          <w:szCs w:val="24"/>
        </w:rPr>
        <w:t>8.5</w:t>
      </w:r>
      <w:r>
        <w:rPr>
          <w:color w:val="000000"/>
          <w:szCs w:val="24"/>
        </w:rPr>
        <w:t xml:space="preserve"> Otros Riesgos- </w:t>
      </w:r>
      <w:r w:rsidRPr="00BE2647">
        <w:rPr>
          <w:i/>
          <w:color w:val="000000"/>
          <w:szCs w:val="24"/>
        </w:rPr>
        <w:t>“Que el Proceso de Vigilancia y Control a la Gestión Fiscal, incumpla los pla</w:t>
      </w:r>
      <w:r>
        <w:rPr>
          <w:i/>
          <w:color w:val="000000"/>
          <w:szCs w:val="24"/>
        </w:rPr>
        <w:t xml:space="preserve">zos fijados para la entrega de </w:t>
      </w:r>
      <w:r w:rsidRPr="00BE2647">
        <w:rPr>
          <w:i/>
          <w:color w:val="000000"/>
          <w:szCs w:val="24"/>
        </w:rPr>
        <w:t>insumos, que son de vital importancia para la elaboración de los inf</w:t>
      </w:r>
      <w:r w:rsidRPr="00BE2647">
        <w:rPr>
          <w:i/>
          <w:color w:val="000000"/>
          <w:szCs w:val="24"/>
        </w:rPr>
        <w:t xml:space="preserve">ormes a cargo de este proceso”. </w:t>
      </w:r>
    </w:p>
    <w:p w:rsidR="008E2995" w:rsidRDefault="00AC5522" w:rsidP="008E2995">
      <w:pPr>
        <w:jc w:val="both"/>
        <w:rPr>
          <w:i/>
          <w:color w:val="000000"/>
          <w:szCs w:val="24"/>
        </w:rPr>
      </w:pPr>
    </w:p>
    <w:p w:rsidR="008E2995" w:rsidRDefault="00AC5522" w:rsidP="008E2995">
      <w:pPr>
        <w:jc w:val="both"/>
        <w:rPr>
          <w:color w:val="000000"/>
          <w:szCs w:val="24"/>
        </w:rPr>
      </w:pPr>
      <w:r w:rsidRPr="009E2326">
        <w:rPr>
          <w:color w:val="000000"/>
          <w:szCs w:val="24"/>
        </w:rPr>
        <w:t xml:space="preserve">La Dirección de Estudios </w:t>
      </w:r>
      <w:r>
        <w:rPr>
          <w:color w:val="000000"/>
          <w:szCs w:val="24"/>
        </w:rPr>
        <w:t xml:space="preserve">de Economía y Política Pública </w:t>
      </w:r>
      <w:r w:rsidRPr="009E2326">
        <w:rPr>
          <w:color w:val="000000"/>
          <w:szCs w:val="24"/>
        </w:rPr>
        <w:t>a través del memorando No. 3-2015-02574 de febrero 5 de 2015 solicitó a los Directores Sectoriales</w:t>
      </w:r>
      <w:r>
        <w:rPr>
          <w:color w:val="000000"/>
          <w:szCs w:val="24"/>
        </w:rPr>
        <w:t>,</w:t>
      </w:r>
      <w:r w:rsidRPr="009E2326">
        <w:rPr>
          <w:color w:val="000000"/>
          <w:szCs w:val="24"/>
        </w:rPr>
        <w:t xml:space="preserve"> informar en forma anticipada y acorde con las instrucciones impartidas por la Contralora Auxiliar, las modificaciones que se efectúen al PAD-2015</w:t>
      </w:r>
      <w:r>
        <w:rPr>
          <w:color w:val="000000"/>
          <w:szCs w:val="24"/>
        </w:rPr>
        <w:t xml:space="preserve"> </w:t>
      </w:r>
      <w:r w:rsidRPr="009E2326">
        <w:rPr>
          <w:color w:val="000000"/>
          <w:szCs w:val="24"/>
        </w:rPr>
        <w:t>en especial las que tengan que ver con cambios en los sujetos de control a los cuales se les practicará audit</w:t>
      </w:r>
      <w:r w:rsidRPr="009E2326">
        <w:rPr>
          <w:color w:val="000000"/>
          <w:szCs w:val="24"/>
        </w:rPr>
        <w:t>oría y fecha de culminación de la auditoría, con el fin de garantizar que los insumos estén dentro de los plaz</w:t>
      </w:r>
      <w:r>
        <w:rPr>
          <w:color w:val="000000"/>
          <w:szCs w:val="24"/>
        </w:rPr>
        <w:t xml:space="preserve">os establecidos en el PAE 2015 </w:t>
      </w:r>
      <w:r w:rsidRPr="009E2326">
        <w:rPr>
          <w:color w:val="000000"/>
          <w:szCs w:val="24"/>
        </w:rPr>
        <w:t>o tramitar los cambios correspondientes.</w:t>
      </w:r>
    </w:p>
    <w:p w:rsidR="008E2995" w:rsidRDefault="00AC5522" w:rsidP="008E2995">
      <w:pPr>
        <w:jc w:val="both"/>
        <w:rPr>
          <w:color w:val="000000"/>
          <w:szCs w:val="24"/>
        </w:rPr>
      </w:pPr>
    </w:p>
    <w:p w:rsidR="008E2995" w:rsidRDefault="00AC5522" w:rsidP="008E2995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Los anteriores riesgos continúan abiertos para seguimiento.</w:t>
      </w:r>
    </w:p>
    <w:p w:rsidR="008E2995" w:rsidRPr="00BE2647" w:rsidRDefault="00AC5522" w:rsidP="008E2995">
      <w:pPr>
        <w:jc w:val="both"/>
        <w:rPr>
          <w:color w:val="000000"/>
          <w:szCs w:val="24"/>
        </w:rPr>
      </w:pPr>
    </w:p>
    <w:p w:rsidR="008E2995" w:rsidRDefault="00AC5522" w:rsidP="008E2995">
      <w:pPr>
        <w:tabs>
          <w:tab w:val="left" w:pos="1440"/>
        </w:tabs>
        <w:jc w:val="both"/>
        <w:rPr>
          <w:b/>
          <w:szCs w:val="24"/>
        </w:rPr>
      </w:pPr>
      <w:r w:rsidRPr="004B45F8">
        <w:rPr>
          <w:b/>
          <w:szCs w:val="24"/>
        </w:rPr>
        <w:t>RECOMENDACIO</w:t>
      </w:r>
      <w:r w:rsidRPr="004B45F8">
        <w:rPr>
          <w:b/>
          <w:szCs w:val="24"/>
        </w:rPr>
        <w:t>NES GENERALES</w:t>
      </w:r>
    </w:p>
    <w:p w:rsidR="008E2995" w:rsidRDefault="00AC5522" w:rsidP="008E2995">
      <w:pPr>
        <w:tabs>
          <w:tab w:val="left" w:pos="1440"/>
        </w:tabs>
        <w:jc w:val="both"/>
        <w:rPr>
          <w:b/>
          <w:szCs w:val="24"/>
        </w:rPr>
      </w:pPr>
    </w:p>
    <w:p w:rsidR="008E2995" w:rsidRPr="004509D6" w:rsidRDefault="00AC5522" w:rsidP="008E2995">
      <w:pPr>
        <w:numPr>
          <w:ilvl w:val="0"/>
          <w:numId w:val="4"/>
        </w:numPr>
        <w:jc w:val="both"/>
        <w:rPr>
          <w:color w:val="000000"/>
          <w:szCs w:val="24"/>
        </w:rPr>
      </w:pPr>
      <w:r w:rsidRPr="004007F0">
        <w:rPr>
          <w:color w:val="000000"/>
          <w:szCs w:val="24"/>
        </w:rPr>
        <w:t>Los hallazgos de la Auditaría Fiscal a los que se sugiere el cierre, no deben ser retirados del anexo 1 - Plan de Mejoramiento sin la autorización del ente de control.</w:t>
      </w:r>
    </w:p>
    <w:p w:rsidR="008E2995" w:rsidRPr="00C50F22" w:rsidRDefault="00AC5522" w:rsidP="008E2995">
      <w:pPr>
        <w:tabs>
          <w:tab w:val="left" w:pos="1440"/>
        </w:tabs>
        <w:jc w:val="both"/>
        <w:rPr>
          <w:b/>
          <w:color w:val="000000"/>
          <w:szCs w:val="24"/>
        </w:rPr>
      </w:pPr>
    </w:p>
    <w:p w:rsidR="008E2995" w:rsidRPr="00D10DF9" w:rsidRDefault="00AC5522" w:rsidP="008E299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both"/>
      </w:pPr>
      <w:r w:rsidRPr="00D10DF9">
        <w:rPr>
          <w:szCs w:val="24"/>
        </w:rPr>
        <w:t xml:space="preserve">El Proceso de Estudios de Economía y Políticas Públicas debe continuar </w:t>
      </w:r>
      <w:r w:rsidRPr="00D10DF9">
        <w:rPr>
          <w:szCs w:val="24"/>
        </w:rPr>
        <w:t>con los controles y seguimientos permanentes para cada una de las actividades programadas en el Plan de Mejoramiento Acciones Correctivas, Preventivas y de Mejora, con el fin de subsanar la Acción de Mejora formulada en el Informe de Gestión con corte a di</w:t>
      </w:r>
      <w:r w:rsidRPr="00D10DF9">
        <w:rPr>
          <w:szCs w:val="24"/>
        </w:rPr>
        <w:t>ciembre de 2014.</w:t>
      </w:r>
    </w:p>
    <w:p w:rsidR="008E2995" w:rsidRPr="00D10DF9" w:rsidRDefault="00AC5522" w:rsidP="008E2995">
      <w:pPr>
        <w:widowControl w:val="0"/>
        <w:tabs>
          <w:tab w:val="left" w:pos="284"/>
        </w:tabs>
        <w:autoSpaceDE w:val="0"/>
        <w:autoSpaceDN w:val="0"/>
        <w:adjustRightInd w:val="0"/>
        <w:ind w:left="720"/>
        <w:jc w:val="both"/>
      </w:pPr>
    </w:p>
    <w:p w:rsidR="008E2995" w:rsidRPr="00D10DF9" w:rsidRDefault="00AC5522" w:rsidP="008E2995">
      <w:pPr>
        <w:numPr>
          <w:ilvl w:val="0"/>
          <w:numId w:val="3"/>
        </w:numPr>
        <w:jc w:val="both"/>
        <w:rPr>
          <w:szCs w:val="24"/>
        </w:rPr>
      </w:pPr>
      <w:r w:rsidRPr="00D10DF9">
        <w:rPr>
          <w:szCs w:val="24"/>
        </w:rPr>
        <w:t>El resultado de la verificación al Anexo 1-Plan de Mejoramiento Acciones     Correctivas, Preventivas y de Mejora, se debe socializar con las dependencias que integran el Proceso de Estudios de Economía y Políticas Públicas.</w:t>
      </w:r>
    </w:p>
    <w:p w:rsidR="008E2995" w:rsidRDefault="00AC5522" w:rsidP="008E2995">
      <w:pPr>
        <w:pStyle w:val="Prrafodelista"/>
        <w:rPr>
          <w:szCs w:val="24"/>
        </w:rPr>
      </w:pPr>
    </w:p>
    <w:p w:rsidR="008E2995" w:rsidRDefault="00AC5522" w:rsidP="008E2995">
      <w:pPr>
        <w:numPr>
          <w:ilvl w:val="0"/>
          <w:numId w:val="3"/>
        </w:numPr>
        <w:jc w:val="both"/>
        <w:rPr>
          <w:color w:val="000000"/>
          <w:szCs w:val="24"/>
        </w:rPr>
      </w:pPr>
      <w:r w:rsidRPr="00EE62A5">
        <w:rPr>
          <w:color w:val="000000"/>
          <w:szCs w:val="24"/>
        </w:rPr>
        <w:t>Incluir en e</w:t>
      </w:r>
      <w:r w:rsidRPr="00EE62A5">
        <w:rPr>
          <w:color w:val="000000"/>
          <w:szCs w:val="24"/>
        </w:rPr>
        <w:t>l Anexo 1 - Plan de Mejoramiento los hallazgos formulados en las auditorías realizadas por los entes de control.</w:t>
      </w:r>
    </w:p>
    <w:p w:rsidR="008E2995" w:rsidRDefault="00AC5522" w:rsidP="008E2995">
      <w:pPr>
        <w:pStyle w:val="Prrafodelista"/>
        <w:rPr>
          <w:color w:val="000000"/>
          <w:szCs w:val="24"/>
        </w:rPr>
      </w:pPr>
    </w:p>
    <w:p w:rsidR="008E2995" w:rsidRPr="009E6958" w:rsidRDefault="00AC5522" w:rsidP="008E2995">
      <w:pPr>
        <w:numPr>
          <w:ilvl w:val="0"/>
          <w:numId w:val="3"/>
        </w:numPr>
        <w:tabs>
          <w:tab w:val="left" w:pos="144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La OCI recomienda de manera respetuosa, que la adopción y aplicación del Procedimiento </w:t>
      </w:r>
      <w:r w:rsidRPr="00644D66">
        <w:rPr>
          <w:color w:val="000000"/>
          <w:szCs w:val="24"/>
        </w:rPr>
        <w:t>para la elaboración de los Diagnósticos Sectoriales</w:t>
      </w:r>
      <w:r>
        <w:rPr>
          <w:color w:val="000000"/>
          <w:szCs w:val="24"/>
        </w:rPr>
        <w:t>, se</w:t>
      </w:r>
      <w:r>
        <w:rPr>
          <w:color w:val="000000"/>
          <w:szCs w:val="24"/>
        </w:rPr>
        <w:t xml:space="preserve"> realice </w:t>
      </w:r>
      <w:r w:rsidRPr="00644D66">
        <w:rPr>
          <w:color w:val="000000"/>
          <w:szCs w:val="24"/>
        </w:rPr>
        <w:lastRenderedPageBreak/>
        <w:t xml:space="preserve">durante el </w:t>
      </w:r>
      <w:r>
        <w:rPr>
          <w:color w:val="000000"/>
          <w:szCs w:val="24"/>
        </w:rPr>
        <w:t>segundo trimestre de 2015, toda vez que es una acción de mejora para aplicar durante la vigencia de 2015.</w:t>
      </w:r>
    </w:p>
    <w:p w:rsidR="008E2995" w:rsidRPr="009E6958" w:rsidRDefault="00AC5522" w:rsidP="008E2995">
      <w:pPr>
        <w:tabs>
          <w:tab w:val="left" w:pos="1440"/>
        </w:tabs>
        <w:ind w:left="720"/>
        <w:jc w:val="both"/>
        <w:rPr>
          <w:color w:val="000000"/>
          <w:szCs w:val="24"/>
        </w:rPr>
      </w:pPr>
    </w:p>
    <w:p w:rsidR="008E2995" w:rsidRDefault="00AC5522" w:rsidP="008E2995">
      <w:pPr>
        <w:tabs>
          <w:tab w:val="left" w:pos="1440"/>
        </w:tabs>
        <w:rPr>
          <w:b/>
          <w:color w:val="000000"/>
          <w:szCs w:val="24"/>
        </w:rPr>
      </w:pPr>
    </w:p>
    <w:p w:rsidR="005C03C2" w:rsidRDefault="00AC5522" w:rsidP="00F87D2B">
      <w:pPr>
        <w:tabs>
          <w:tab w:val="left" w:pos="-720"/>
          <w:tab w:val="left" w:pos="284"/>
        </w:tabs>
        <w:suppressAutoHyphens/>
        <w:ind w:right="-518" w:firstLine="1418"/>
        <w:rPr>
          <w:rFonts w:cs="Arial"/>
          <w:szCs w:val="24"/>
        </w:rPr>
        <w:sectPr w:rsidR="005C03C2" w:rsidSect="00B565CC">
          <w:type w:val="continuous"/>
          <w:pgSz w:w="12240" w:h="15840" w:code="119"/>
          <w:pgMar w:top="1418" w:right="1418" w:bottom="1418" w:left="1701" w:header="709" w:footer="0" w:gutter="0"/>
          <w:cols w:space="708"/>
          <w:docGrid w:linePitch="360"/>
        </w:sectPr>
      </w:pPr>
    </w:p>
    <w:p w:rsidR="001903F7" w:rsidRDefault="00AC5522" w:rsidP="00170C43">
      <w:r>
        <w:rPr>
          <w:rFonts w:cs="Arial"/>
          <w:b/>
          <w:szCs w:val="24"/>
        </w:rPr>
        <w:lastRenderedPageBreak/>
        <w:t>DE: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>CAR</w:t>
      </w:r>
      <w:r>
        <w:rPr>
          <w:rFonts w:cs="Arial"/>
          <w:szCs w:val="24"/>
        </w:rPr>
        <w:t>GO DEL REMITEN</w:t>
      </w:r>
      <w:r>
        <w:t>TE</w:t>
      </w:r>
    </w:p>
    <w:p w:rsidR="005C03C2" w:rsidRDefault="00AC5522" w:rsidP="00170C43"/>
    <w:p w:rsidR="005C03C2" w:rsidRDefault="00AC5522" w:rsidP="00170C43"/>
    <w:p w:rsidR="00750C9E" w:rsidRDefault="00AC5522" w:rsidP="00170C43">
      <w:pPr>
        <w:rPr>
          <w:rFonts w:cs="Arial"/>
          <w:b/>
          <w:szCs w:val="24"/>
        </w:rPr>
        <w:sectPr w:rsidR="00750C9E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6836EB" w:rsidRDefault="00AC5522" w:rsidP="006836EB">
      <w:pPr>
        <w:outlineLvl w:val="0"/>
        <w:rPr>
          <w:rFonts w:cs="Arial"/>
          <w:szCs w:val="24"/>
        </w:rPr>
      </w:pPr>
    </w:p>
    <w:p w:rsidR="0080302C" w:rsidRDefault="00AC5522" w:rsidP="006836EB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Cordialmente,</w:t>
      </w:r>
    </w:p>
    <w:p w:rsidR="00E07534" w:rsidRDefault="00AC5522" w:rsidP="006836EB">
      <w:pPr>
        <w:outlineLvl w:val="0"/>
        <w:rPr>
          <w:rFonts w:cs="Arial"/>
          <w:szCs w:val="24"/>
        </w:rPr>
      </w:pPr>
    </w:p>
    <w:p w:rsidR="00EC36C7" w:rsidRDefault="00AC5522" w:rsidP="006836EB">
      <w:pPr>
        <w:outlineLvl w:val="0"/>
        <w:rPr>
          <w:rFonts w:cs="Arial"/>
          <w:szCs w:val="24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tbl>
      <w:tblPr>
        <w:tblStyle w:val="Tablaconcuadrcula"/>
        <w:tblW w:w="89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253"/>
      </w:tblGrid>
      <w:tr w:rsidR="002758CD" w:rsidTr="00EC36C7">
        <w:trPr>
          <w:trHeight w:val="988"/>
        </w:trPr>
        <w:tc>
          <w:tcPr>
            <w:tcW w:w="4673" w:type="dxa"/>
          </w:tcPr>
          <w:p w:rsidR="007A6B81" w:rsidRDefault="00AC5522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35086F" w:rsidP="00EC36C7">
            <w:pPr>
              <w:spacing w:line="216" w:lineRule="auto"/>
              <w:ind w:left="318" w:right="-801"/>
              <w:rPr>
                <w:rFonts w:cs="Arial"/>
                <w:szCs w:val="24"/>
              </w:rPr>
            </w:pPr>
            <w:bookmarkStart w:id="11" w:name="gdocs_firma"/>
            <w:r>
              <w:rPr>
                <w:rFonts w:cs="Arial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.75pt;height:54.75pt">
                  <v:imagedata r:id="rId10" o:title=""/>
                </v:shape>
              </w:pict>
            </w:r>
            <w:bookmarkEnd w:id="11"/>
          </w:p>
        </w:tc>
      </w:tr>
      <w:tr w:rsidR="002758CD" w:rsidTr="00EC36C7">
        <w:trPr>
          <w:trHeight w:val="286"/>
        </w:trPr>
        <w:tc>
          <w:tcPr>
            <w:tcW w:w="4673" w:type="dxa"/>
          </w:tcPr>
          <w:p w:rsidR="007A6B81" w:rsidRDefault="00AC5522" w:rsidP="007A6B81">
            <w:pPr>
              <w:outlineLvl w:val="0"/>
              <w:rPr>
                <w:rFonts w:cs="Arial"/>
                <w:szCs w:val="24"/>
              </w:rPr>
            </w:pPr>
          </w:p>
        </w:tc>
        <w:tc>
          <w:tcPr>
            <w:tcW w:w="4253" w:type="dxa"/>
          </w:tcPr>
          <w:p w:rsidR="007A6B81" w:rsidRDefault="00AC5522" w:rsidP="00EC36C7">
            <w:pPr>
              <w:spacing w:line="216" w:lineRule="auto"/>
              <w:ind w:left="318" w:right="-376"/>
              <w:rPr>
                <w:rFonts w:cs="Arial"/>
                <w:szCs w:val="24"/>
              </w:rPr>
            </w:pPr>
            <w:bookmarkStart w:id="12" w:name="gdocs_nombre"/>
            <w:r w:rsidRPr="00F87D2B">
              <w:rPr>
                <w:b/>
              </w:rPr>
              <w:t>LUZ INES RODRIGUEZ MENDOZA</w:t>
            </w:r>
            <w:bookmarkEnd w:id="12"/>
          </w:p>
        </w:tc>
      </w:tr>
    </w:tbl>
    <w:p w:rsidR="00EC36C7" w:rsidRDefault="00AC5522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  <w:sectPr w:rsidR="00EC36C7" w:rsidSect="00B565CC">
          <w:type w:val="continuous"/>
          <w:pgSz w:w="12240" w:h="15840"/>
          <w:pgMar w:top="1417" w:right="1701" w:bottom="1417" w:left="1701" w:header="708" w:footer="0" w:gutter="0"/>
          <w:cols w:space="708"/>
          <w:docGrid w:linePitch="360"/>
        </w:sectPr>
      </w:pPr>
    </w:p>
    <w:p w:rsidR="00C94A59" w:rsidRDefault="00AC5522" w:rsidP="00C94A59">
      <w:pPr>
        <w:tabs>
          <w:tab w:val="left" w:pos="-720"/>
          <w:tab w:val="left" w:pos="0"/>
        </w:tabs>
        <w:suppressAutoHyphens/>
        <w:rPr>
          <w:rFonts w:cs="Arial"/>
          <w:sz w:val="18"/>
          <w:szCs w:val="18"/>
        </w:rPr>
      </w:pPr>
    </w:p>
    <w:p w:rsidR="008E2995" w:rsidRDefault="00AC5522" w:rsidP="008E2995">
      <w:pPr>
        <w:tabs>
          <w:tab w:val="left" w:pos="1440"/>
        </w:tabs>
        <w:jc w:val="center"/>
        <w:rPr>
          <w:b/>
          <w:color w:val="000000"/>
          <w:szCs w:val="24"/>
        </w:rPr>
      </w:pPr>
    </w:p>
    <w:p w:rsidR="008E2995" w:rsidRPr="009E6958" w:rsidRDefault="00AC5522" w:rsidP="008E2995">
      <w:pPr>
        <w:tabs>
          <w:tab w:val="left" w:pos="1440"/>
        </w:tabs>
        <w:rPr>
          <w:color w:val="000000"/>
          <w:sz w:val="16"/>
          <w:szCs w:val="16"/>
          <w:lang w:val="es-CO"/>
        </w:rPr>
      </w:pPr>
      <w:r w:rsidRPr="009E6958">
        <w:rPr>
          <w:color w:val="000000"/>
          <w:sz w:val="16"/>
          <w:szCs w:val="16"/>
        </w:rPr>
        <w:t>Se anexa Matriz en seis (6) folios</w:t>
      </w:r>
    </w:p>
    <w:p w:rsidR="008E2995" w:rsidRPr="00F66A80" w:rsidRDefault="00AC5522" w:rsidP="008E2995">
      <w:pPr>
        <w:tabs>
          <w:tab w:val="left" w:pos="1440"/>
        </w:tabs>
        <w:rPr>
          <w:color w:val="000000"/>
          <w:sz w:val="16"/>
          <w:szCs w:val="16"/>
        </w:rPr>
      </w:pPr>
      <w:r w:rsidRPr="00F66A80">
        <w:rPr>
          <w:color w:val="000000"/>
          <w:sz w:val="16"/>
          <w:szCs w:val="16"/>
        </w:rPr>
        <w:t>Proyectó y elaboró:</w:t>
      </w:r>
      <w:r w:rsidRPr="00F66A80">
        <w:rPr>
          <w:color w:val="000000"/>
          <w:sz w:val="16"/>
          <w:szCs w:val="16"/>
        </w:rPr>
        <w:tab/>
        <w:t>Blanca I</w:t>
      </w:r>
      <w:r>
        <w:rPr>
          <w:color w:val="000000"/>
          <w:sz w:val="16"/>
          <w:szCs w:val="16"/>
        </w:rPr>
        <w:t>sabel</w:t>
      </w:r>
      <w:r w:rsidRPr="00F66A80">
        <w:rPr>
          <w:color w:val="000000"/>
          <w:sz w:val="16"/>
          <w:szCs w:val="16"/>
        </w:rPr>
        <w:t xml:space="preserve"> Rodríguez Sáenz</w:t>
      </w:r>
    </w:p>
    <w:p w:rsidR="008E2995" w:rsidRPr="00F66A80" w:rsidRDefault="00AC5522" w:rsidP="008E2995">
      <w:pPr>
        <w:tabs>
          <w:tab w:val="left" w:pos="1440"/>
        </w:tabs>
        <w:rPr>
          <w:color w:val="000000"/>
          <w:sz w:val="16"/>
          <w:szCs w:val="16"/>
        </w:rPr>
      </w:pPr>
      <w:r w:rsidRPr="00F66A80">
        <w:rPr>
          <w:color w:val="000000"/>
          <w:sz w:val="16"/>
          <w:szCs w:val="16"/>
        </w:rPr>
        <w:t>Revis</w:t>
      </w:r>
      <w:r>
        <w:rPr>
          <w:color w:val="000000"/>
          <w:sz w:val="16"/>
          <w:szCs w:val="16"/>
        </w:rPr>
        <w:t xml:space="preserve">ó: </w:t>
      </w:r>
      <w:r w:rsidRPr="00F66A80">
        <w:rPr>
          <w:color w:val="000000"/>
          <w:sz w:val="16"/>
          <w:szCs w:val="16"/>
        </w:rPr>
        <w:t>Luz Inés Rodríguez Mendoza-Jefe Control interno</w:t>
      </w:r>
    </w:p>
    <w:p w:rsidR="00815CDD" w:rsidRPr="00301D93" w:rsidRDefault="00AC5522" w:rsidP="008A35A4">
      <w:pPr>
        <w:rPr>
          <w:rFonts w:cs="Arial"/>
          <w:sz w:val="18"/>
          <w:szCs w:val="18"/>
        </w:rPr>
      </w:pPr>
    </w:p>
    <w:sectPr w:rsidR="00815CDD" w:rsidRPr="00301D93" w:rsidSect="00B565CC">
      <w:type w:val="continuous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22" w:rsidRDefault="00AC5522">
      <w:r>
        <w:separator/>
      </w:r>
    </w:p>
  </w:endnote>
  <w:endnote w:type="continuationSeparator" w:id="0">
    <w:p w:rsidR="00AC5522" w:rsidRDefault="00AC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AC5522" w:rsidP="0076554E">
    <w:pPr>
      <w:jc w:val="center"/>
      <w:rPr>
        <w:sz w:val="16"/>
        <w:szCs w:val="16"/>
      </w:rPr>
    </w:pPr>
    <w:hyperlink r:id="rId1" w:history="1">
      <w:r w:rsidRPr="00E57F2F">
        <w:rPr>
          <w:rStyle w:val="Hipervnculo"/>
          <w:sz w:val="16"/>
          <w:szCs w:val="16"/>
        </w:rPr>
        <w:t>www.contraloriabogota.gov.co</w:t>
      </w:r>
    </w:hyperlink>
  </w:p>
  <w:p w:rsidR="007732BF" w:rsidRPr="007732BF" w:rsidRDefault="00AC5522" w:rsidP="0076554E">
    <w:pPr>
      <w:jc w:val="center"/>
      <w:rPr>
        <w:sz w:val="18"/>
        <w:szCs w:val="18"/>
      </w:rPr>
    </w:pPr>
    <w:r w:rsidRPr="007732BF">
      <w:rPr>
        <w:sz w:val="18"/>
        <w:szCs w:val="18"/>
      </w:rPr>
      <w:t>Código Postal 111321</w:t>
    </w:r>
  </w:p>
  <w:p w:rsidR="007732BF" w:rsidRPr="00A656FE" w:rsidRDefault="00AC5522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 xml:space="preserve">Cra. </w:t>
    </w:r>
    <w:smartTag w:uri="urn:schemas-microsoft-com:office:smarttags" w:element="metricconverter">
      <w:smartTagPr>
        <w:attr w:name="ProductID" w:val="32 A"/>
      </w:smartTagPr>
      <w:r w:rsidRPr="00A656FE">
        <w:rPr>
          <w:sz w:val="18"/>
          <w:szCs w:val="18"/>
        </w:rPr>
        <w:t>32 A</w:t>
      </w:r>
    </w:smartTag>
    <w:r w:rsidRPr="00A656FE">
      <w:rPr>
        <w:sz w:val="18"/>
        <w:szCs w:val="18"/>
      </w:rPr>
      <w:t xml:space="preserve"> No. </w:t>
    </w:r>
    <w:smartTag w:uri="urn:schemas-microsoft-com:office:smarttags" w:element="metricconverter">
      <w:smartTagPr>
        <w:attr w:name="ProductID" w:val="26 A"/>
      </w:smartTagPr>
      <w:r w:rsidRPr="00A656FE">
        <w:rPr>
          <w:sz w:val="18"/>
          <w:szCs w:val="18"/>
        </w:rPr>
        <w:t>26 A</w:t>
      </w:r>
    </w:smartTag>
    <w:r w:rsidRPr="00A656FE">
      <w:rPr>
        <w:sz w:val="18"/>
        <w:szCs w:val="18"/>
      </w:rPr>
      <w:t xml:space="preserve"> – 10</w:t>
    </w:r>
  </w:p>
  <w:p w:rsidR="007732BF" w:rsidRPr="00A656FE" w:rsidRDefault="00AC5522" w:rsidP="0076554E">
    <w:pPr>
      <w:jc w:val="center"/>
      <w:rPr>
        <w:sz w:val="18"/>
        <w:szCs w:val="18"/>
      </w:rPr>
    </w:pPr>
    <w:r w:rsidRPr="00A656FE">
      <w:rPr>
        <w:sz w:val="18"/>
        <w:szCs w:val="18"/>
      </w:rPr>
      <w:t>PBX 3358888</w:t>
    </w:r>
  </w:p>
  <w:p w:rsidR="007732BF" w:rsidRDefault="00AC5522" w:rsidP="00BD6F23">
    <w:pPr>
      <w:pStyle w:val="Piedepgina"/>
      <w:jc w:val="left"/>
    </w:pPr>
  </w:p>
  <w:p w:rsidR="007732BF" w:rsidRDefault="00AC55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22" w:rsidRDefault="00AC5522">
      <w:r>
        <w:separator/>
      </w:r>
    </w:p>
  </w:footnote>
  <w:footnote w:type="continuationSeparator" w:id="0">
    <w:p w:rsidR="00AC5522" w:rsidRDefault="00AC5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BF" w:rsidRDefault="00AC5522" w:rsidP="00C5161C">
    <w:pPr>
      <w:pStyle w:val="Encabezado"/>
      <w:spacing w:before="100"/>
      <w:jc w:val="right"/>
    </w:pPr>
    <w:r w:rsidRPr="00497350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-41910</wp:posOffset>
              </wp:positionH>
              <wp:positionV relativeFrom="paragraph">
                <wp:posOffset>-61595</wp:posOffset>
              </wp:positionV>
              <wp:extent cx="3391535" cy="846455"/>
              <wp:effectExtent l="5715" t="5080" r="12700" b="571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732BF" w:rsidRPr="00FC7DD4" w:rsidRDefault="00AC55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CONTRALORIA DE BOGOTA D.C.  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Folios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0" w:name="gdocs_numFolios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X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XXX</w:t>
                          </w:r>
                          <w:bookmarkEnd w:id="0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.  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Anexos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1" w:name="gdocs_hasAnexos"/>
                          <w:bookmarkEnd w:id="1"/>
                        </w:p>
                        <w:p w:rsidR="007732BF" w:rsidRDefault="00AC55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Radicación #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2" w:name="gdocs_num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3-2015-07052</w:t>
                          </w:r>
                          <w:bookmarkEnd w:id="2"/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Fecha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3" w:name="gdocs_fecRad"/>
                          <w:r w:rsidRPr="00FC7DD4">
                            <w:rPr>
                              <w:rFonts w:ascii="Arial Narrow" w:hAnsi="Arial Narrow"/>
                              <w:sz w:val="18"/>
                            </w:rPr>
                            <w:t>2015-04-14 13:36</w:t>
                          </w:r>
                          <w:bookmarkEnd w:id="3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Proc #</w:t>
                          </w:r>
                          <w:r w:rsidRPr="002C58DF">
                            <w:rPr>
                              <w:rFonts w:ascii="Arial Narrow" w:hAnsi="Arial Narrow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bookmarkStart w:id="4" w:name="gdocs_numPro"/>
                          <w:r>
                            <w:rPr>
                              <w:rFonts w:ascii="Arial Narrow" w:hAnsi="Arial Narrow"/>
                              <w:sz w:val="18"/>
                            </w:rPr>
                            <w:t>639783</w:t>
                          </w:r>
                          <w:bookmarkEnd w:id="4"/>
                        </w:p>
                        <w:p w:rsidR="007732BF" w:rsidRPr="00C71928" w:rsidRDefault="00AC5522">
                          <w:pPr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 w:rsidRPr="00C71928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Tercero: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5" w:name="gdocs_nomter"/>
                          <w:r w:rsidRPr="00C71928">
                            <w:rPr>
                              <w:rFonts w:ascii="Arial Narrow" w:hAnsi="Arial Narrow"/>
                              <w:sz w:val="18"/>
                            </w:rPr>
                            <w:t xml:space="preserve"> CONTRALORIA DE BOGOTA D.C.</w:t>
                          </w:r>
                          <w:bookmarkEnd w:id="5"/>
                        </w:p>
                        <w:p w:rsidR="007732BF" w:rsidRDefault="00AC55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Dependencia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Radicadora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</w:t>
                          </w:r>
                          <w:bookmarkStart w:id="6" w:name="gdocs_nomDep"/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OFICINA DE CONTROL INTERNO</w:t>
                          </w:r>
                          <w:bookmarkEnd w:id="6"/>
                        </w:p>
                        <w:p w:rsidR="007732BF" w:rsidRDefault="00AC55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Clase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7" w:name="gdocs_cla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3- Internos</w:t>
                          </w:r>
                          <w:bookmarkEnd w:id="7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Tip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o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 xml:space="preserve"> Doc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8" w:name="gdocs_tip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Memorando</w:t>
                          </w:r>
                          <w:bookmarkEnd w:id="8"/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 </w:t>
                          </w:r>
                          <w:r w:rsidRPr="002C58DF"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Consec</w:t>
                          </w:r>
                          <w:r>
                            <w:rPr>
                              <w:rFonts w:ascii="Arial Narrow" w:hAnsi="Arial Narrow"/>
                              <w:sz w:val="18"/>
                            </w:rPr>
                            <w:t xml:space="preserve">: </w:t>
                          </w:r>
                          <w:bookmarkStart w:id="9" w:name="numdoc"/>
                          <w:r>
                            <w:rPr>
                              <w:rFonts w:ascii="Arial Narrow" w:hAnsi="Arial Narrow"/>
                              <w:sz w:val="18"/>
                            </w:rPr>
                            <w:t>13000-06476</w:t>
                          </w:r>
                          <w:bookmarkEnd w:id="9"/>
                        </w:p>
                        <w:p w:rsidR="007732BF" w:rsidRPr="00FC7DD4" w:rsidRDefault="00AC5522">
                          <w:pPr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height:66.65pt;margin-left:-3.3pt;margin-top:-4.85pt;mso-wrap-distance-bottom:0;mso-wrap-distance-left:9pt;mso-wrap-distance-right:9pt;mso-wrap-distance-top:0;mso-wrap-style:square;position:absolute;v-text-anchor:top;visibility:visible;width:267.05pt;z-index:251659264" filled="f" strokecolor="white">
              <v:textbox>
                <w:txbxContent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CONTRALORIA DE BOGOTA D.C.  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Folios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0" w:name="gdocs_numFolios"/>
                    <w:r w:rsidRPr="00FC7DD4">
                      <w:rPr>
                        <w:rFonts w:ascii="Arial Narrow" w:hAnsi="Arial Narrow"/>
                        <w:sz w:val="18"/>
                      </w:rPr>
                      <w:t>X</w:t>
                    </w:r>
                    <w:r>
                      <w:rPr>
                        <w:rFonts w:ascii="Arial Narrow" w:hAnsi="Arial Narrow"/>
                        <w:sz w:val="18"/>
                      </w:rPr>
                      <w:t>XXX</w:t>
                    </w:r>
                    <w:bookmarkEnd w:id="0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.  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Anexos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1" w:name="gdocs_hasAnexos"/>
                    <w:bookmarkEnd w:id="1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Radicación #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2" w:name="gdocs_numRad"/>
                    <w:r w:rsidRPr="00FC7DD4"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X  </w:t>
                    </w:r>
                    <w:bookmarkEnd w:id="2"/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Fecha</w:t>
                    </w:r>
                    <w:r>
                      <w:rPr>
                        <w:rFonts w:ascii="Arial Narrow" w:hAnsi="Arial Narrow"/>
                        <w:sz w:val="18"/>
                      </w:rPr>
                      <w:t>:</w:t>
                    </w:r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3" w:name="gdocs_fecRad"/>
                    <w:r w:rsidRPr="00FC7DD4">
                      <w:rPr>
                        <w:rFonts w:ascii="Arial Narrow" w:hAnsi="Arial Narrow"/>
                        <w:sz w:val="18"/>
                      </w:rPr>
                      <w:t xml:space="preserve">XXXX-XX-XX </w:t>
                    </w:r>
                    <w:r>
                      <w:rPr>
                        <w:rFonts w:ascii="Arial Narrow" w:hAnsi="Arial Narrow"/>
                        <w:sz w:val="18"/>
                      </w:rPr>
                      <w:t>XX:XX</w:t>
                    </w:r>
                    <w:bookmarkEnd w:id="3"/>
                    <w:r>
                      <w:rPr>
                        <w:rFonts w:ascii="Arial Narrow" w:hAnsi="Arial Narrow"/>
                        <w:sz w:val="18"/>
                      </w:rPr>
                      <w:t xml:space="preserve"> 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Proc #</w:t>
                    </w:r>
                    <w:r w:rsidRPr="002C58DF">
                      <w:rPr>
                        <w:rFonts w:ascii="Arial Narrow" w:hAnsi="Arial Narrow"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bookmarkStart w:id="4" w:name="gdocs_numPro"/>
                    <w:r>
                      <w:rPr>
                        <w:rFonts w:ascii="Arial Narrow" w:hAnsi="Arial Narrow"/>
                        <w:sz w:val="18"/>
                      </w:rPr>
                      <w:t>639783</w:t>
                    </w:r>
                    <w:bookmarkEnd w:id="4"/>
                  </w:p>
                  <w:p w:rsidR="007732BF" w:rsidRPr="00C71928">
                    <w:pPr>
                      <w:rPr>
                        <w:rFonts w:ascii="Arial Narrow" w:hAnsi="Arial Narrow"/>
                        <w:b/>
                        <w:sz w:val="18"/>
                      </w:rPr>
                    </w:pPr>
                    <w:r w:rsidRPr="00C71928">
                      <w:rPr>
                        <w:rFonts w:ascii="Arial Narrow" w:hAnsi="Arial Narrow"/>
                        <w:b/>
                        <w:sz w:val="18"/>
                      </w:rPr>
                      <w:t>Tercero: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5" w:name="gdocs_nomter"/>
                    <w:r w:rsidRPr="00C71928">
                      <w:rPr>
                        <w:rFonts w:ascii="Arial Narrow" w:hAnsi="Arial Narrow"/>
                        <w:sz w:val="18"/>
                      </w:rPr>
                      <w:t xml:space="preserve"> CONTRALORIA DE BOGOTA D.C.</w:t>
                    </w:r>
                    <w:bookmarkEnd w:id="5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Dependencia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Radicadora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: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 xml:space="preserve"> </w:t>
                    </w:r>
                    <w:bookmarkStart w:id="6" w:name="gdocs_nomDep"/>
                    <w:r>
                      <w:rPr>
                        <w:rFonts w:ascii="Arial Narrow" w:hAnsi="Arial Narrow"/>
                        <w:b/>
                        <w:sz w:val="18"/>
                      </w:rPr>
                      <w:t>XXXXXXXXXXXXXXXXXXXXXXXXXXXXXXX</w:t>
                    </w:r>
                    <w:bookmarkEnd w:id="6"/>
                  </w:p>
                  <w:p w:rsidR="007732BF">
                    <w:pPr>
                      <w:rPr>
                        <w:rFonts w:ascii="Arial Narrow" w:hAnsi="Arial Narrow"/>
                        <w:sz w:val="18"/>
                      </w:rPr>
                    </w:pP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Clase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7" w:name="gdocs_claDoc"/>
                    <w:r>
                      <w:rPr>
                        <w:rFonts w:ascii="Arial Narrow" w:hAnsi="Arial Narrow"/>
                        <w:sz w:val="18"/>
                      </w:rPr>
                      <w:t xml:space="preserve">XXXXXXXX </w:t>
                    </w:r>
                    <w:bookmarkEnd w:id="7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Tip</w:t>
                    </w:r>
                    <w:r>
                      <w:rPr>
                        <w:rFonts w:ascii="Arial Narrow" w:hAnsi="Arial Narrow"/>
                        <w:b/>
                        <w:sz w:val="18"/>
                      </w:rPr>
                      <w:t>o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 xml:space="preserve"> Doc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8" w:name="gdocs_tipDoc"/>
                    <w:r>
                      <w:rPr>
                        <w:rFonts w:ascii="Arial Narrow" w:hAnsi="Arial Narrow"/>
                        <w:sz w:val="18"/>
                      </w:rPr>
                      <w:t>XXXXXXXX</w:t>
                    </w:r>
                    <w:bookmarkEnd w:id="8"/>
                    <w:r>
                      <w:rPr>
                        <w:rFonts w:ascii="Arial Narrow" w:hAnsi="Arial Narrow"/>
                        <w:sz w:val="18"/>
                      </w:rPr>
                      <w:t xml:space="preserve"> </w:t>
                    </w:r>
                    <w:r w:rsidRPr="002C58DF">
                      <w:rPr>
                        <w:rFonts w:ascii="Arial Narrow" w:hAnsi="Arial Narrow"/>
                        <w:b/>
                        <w:sz w:val="18"/>
                      </w:rPr>
                      <w:t>Consec</w:t>
                    </w:r>
                    <w:r>
                      <w:rPr>
                        <w:rFonts w:ascii="Arial Narrow" w:hAnsi="Arial Narrow"/>
                        <w:sz w:val="18"/>
                      </w:rPr>
                      <w:t xml:space="preserve">: </w:t>
                    </w:r>
                    <w:bookmarkStart w:id="9" w:name="numdoc"/>
                    <w:r>
                      <w:rPr>
                        <w:rFonts w:ascii="Arial Narrow" w:hAnsi="Arial Narrow"/>
                        <w:sz w:val="18"/>
                      </w:rPr>
                      <w:t>XXXXXX-XXXXX</w:t>
                    </w:r>
                    <w:bookmarkEnd w:id="9"/>
                  </w:p>
                  <w:p w:rsidR="007732BF" w:rsidRPr="00FC7DD4">
                    <w:pPr>
                      <w:rPr>
                        <w:rFonts w:ascii="Arial Narrow" w:hAnsi="Arial Narrow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-29845</wp:posOffset>
              </wp:positionH>
              <wp:positionV relativeFrom="paragraph">
                <wp:posOffset>-85725</wp:posOffset>
              </wp:positionV>
              <wp:extent cx="3391535" cy="846455"/>
              <wp:effectExtent l="8255" t="9525" r="10160" b="107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1535" cy="84645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roundrect id="AutoShape 4" o:spid="_x0000_s2050" style="height:66.65pt;margin-left:-2.35pt;margin-top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267.05pt;z-index:251661312" arcsize="10923f" filled="f"/>
          </w:pict>
        </mc:Fallback>
      </mc:AlternateContent>
    </w:r>
    <w:r>
      <w:rPr>
        <w:noProof/>
        <w:lang w:val="es-CO" w:eastAsia="es-CO"/>
      </w:rPr>
      <w:drawing>
        <wp:inline distT="0" distB="0" distL="0" distR="0">
          <wp:extent cx="1104900" cy="733425"/>
          <wp:effectExtent l="0" t="0" r="0" b="9525"/>
          <wp:docPr id="2" name="Imagen 2" descr="logo nuevo contral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uevo contral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5AA1"/>
    <w:multiLevelType w:val="hybridMultilevel"/>
    <w:tmpl w:val="73C614EC"/>
    <w:lvl w:ilvl="0" w:tplc="169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241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4A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20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E84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27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45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8FF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C2A6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06949"/>
    <w:multiLevelType w:val="multilevel"/>
    <w:tmpl w:val="5B74F7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2">
    <w:nsid w:val="3AFE6378"/>
    <w:multiLevelType w:val="hybridMultilevel"/>
    <w:tmpl w:val="8A72E1F8"/>
    <w:lvl w:ilvl="0" w:tplc="6FF2F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81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16C8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851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A47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7AA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7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05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280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2724FE"/>
    <w:multiLevelType w:val="multilevel"/>
    <w:tmpl w:val="BED80992"/>
    <w:lvl w:ilvl="0">
      <w:start w:val="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spinCount="100000" w:hashValue="sXKp3raqK/VwOkS9+dRn9u+kEm+/iURw3fDZMjFLMln/cHbjWKuS/ABi9QeaQQxqvIV4396TZG4t+a/+O/EXrQ==" w:saltValue="ubCuBu04xW7bRGgvEENu5A==" w:algorithmName="SHA-5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CD"/>
    <w:rsid w:val="002758CD"/>
    <w:rsid w:val="0035086F"/>
    <w:rsid w:val="00A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FE7A3AF8-1967-4291-BD52-15E73686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325"/>
    <w:rPr>
      <w:rFonts w:ascii="Arial" w:eastAsia="Times New Roman" w:hAnsi="Arial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614"/>
    <w:pPr>
      <w:spacing w:beforeAutospacing="1"/>
      <w:jc w:val="center"/>
    </w:pPr>
    <w:rPr>
      <w:rFonts w:ascii="Tahoma" w:eastAsia="Calibr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link w:val="Textodeglobo"/>
    <w:uiPriority w:val="99"/>
    <w:semiHidden/>
    <w:rsid w:val="00DB56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614"/>
  </w:style>
  <w:style w:type="paragraph" w:styleId="Piedepgina">
    <w:name w:val="footer"/>
    <w:basedOn w:val="Normal"/>
    <w:link w:val="PiedepginaCar"/>
    <w:uiPriority w:val="99"/>
    <w:unhideWhenUsed/>
    <w:rsid w:val="00DB5614"/>
    <w:pPr>
      <w:tabs>
        <w:tab w:val="center" w:pos="4419"/>
        <w:tab w:val="right" w:pos="8838"/>
      </w:tabs>
      <w:spacing w:beforeAutospacing="1"/>
      <w:jc w:val="center"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614"/>
  </w:style>
  <w:style w:type="paragraph" w:styleId="Sangra2detindependiente">
    <w:name w:val="Body Text Indent 2"/>
    <w:basedOn w:val="Normal"/>
    <w:link w:val="Sangra2detindependienteCar"/>
    <w:semiHidden/>
    <w:rsid w:val="00DB5614"/>
    <w:pPr>
      <w:tabs>
        <w:tab w:val="left" w:pos="-720"/>
      </w:tabs>
      <w:suppressAutoHyphens/>
      <w:ind w:left="1490" w:hanging="1560"/>
      <w:jc w:val="both"/>
    </w:pPr>
    <w:rPr>
      <w:sz w:val="22"/>
    </w:rPr>
  </w:style>
  <w:style w:type="character" w:customStyle="1" w:styleId="Sangra2detindependienteCar">
    <w:name w:val="Sangría 2 de t. independiente Car"/>
    <w:link w:val="Sangra2detindependiente"/>
    <w:semiHidden/>
    <w:rsid w:val="00DB5614"/>
    <w:rPr>
      <w:rFonts w:ascii="Arial" w:eastAsia="Times New Roman" w:hAnsi="Arial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DB561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semiHidden/>
    <w:rsid w:val="00DB5614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B5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9779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197795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E46EA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Hipervnculo">
    <w:name w:val="Hyperlink"/>
    <w:uiPriority w:val="99"/>
    <w:unhideWhenUsed/>
    <w:rsid w:val="00E157F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2995"/>
    <w:pPr>
      <w:ind w:left="708"/>
    </w:pPr>
    <w:rPr>
      <w:rFonts w:cs="Arial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RACIO%20CARRE&#209;O\Escritorio\Formato%20de%20Memo%20Plantilla%202007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1E51C-BA02-4308-9EDB-F3C4B16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Memo Plantilla 2007</Template>
  <TotalTime>1</TotalTime>
  <Pages>5</Pages>
  <Words>1368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8879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HORACIO CARREÑO</dc:creator>
  <cp:lastModifiedBy>DANIELA MARIA HOYOS GOMEZ</cp:lastModifiedBy>
  <cp:revision>2</cp:revision>
  <cp:lastPrinted>2015-04-14T18:36:00Z</cp:lastPrinted>
  <dcterms:created xsi:type="dcterms:W3CDTF">2015-04-14T18:37:00Z</dcterms:created>
  <dcterms:modified xsi:type="dcterms:W3CDTF">2015-04-14T18:37:00Z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tpl">
    <vt:lpwstr>1428964199870</vt:lpwstr>
  </property>
</Properties>
</file>